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4B" w:rsidRPr="008B262A" w:rsidRDefault="000B1D31" w:rsidP="00092DBA">
      <w:pPr>
        <w:autoSpaceDE w:val="0"/>
        <w:autoSpaceDN w:val="0"/>
        <w:adjustRightInd w:val="0"/>
        <w:rPr>
          <w:rFonts w:eastAsia="TimesNewRoman" w:cstheme="minorHAnsi"/>
          <w:b/>
          <w:sz w:val="22"/>
          <w:szCs w:val="22"/>
          <w:lang w:val="ru-RU" w:bidi="ar-SA"/>
        </w:rPr>
      </w:pPr>
      <w:r w:rsidRPr="008B262A">
        <w:rPr>
          <w:rFonts w:eastAsia="TimesNewRoman" w:cstheme="minorHAnsi"/>
          <w:b/>
          <w:sz w:val="22"/>
          <w:szCs w:val="22"/>
          <w:lang w:val="ru-RU" w:bidi="ar-SA"/>
        </w:rPr>
        <w:t>Основные условия договоров</w:t>
      </w:r>
      <w:r w:rsidR="0089534B" w:rsidRPr="008B262A">
        <w:rPr>
          <w:rFonts w:eastAsia="TimesNewRoman" w:cstheme="minorHAnsi"/>
          <w:b/>
          <w:sz w:val="22"/>
          <w:szCs w:val="22"/>
          <w:lang w:val="ru-RU" w:bidi="ar-SA"/>
        </w:rPr>
        <w:t xml:space="preserve"> </w:t>
      </w:r>
      <w:r w:rsidRPr="008B262A">
        <w:rPr>
          <w:rFonts w:eastAsia="TimesNewRoman" w:cstheme="minorHAnsi"/>
          <w:b/>
          <w:sz w:val="22"/>
          <w:szCs w:val="22"/>
          <w:lang w:val="ru-RU" w:bidi="ar-SA"/>
        </w:rPr>
        <w:t xml:space="preserve">энергоснабжения и </w:t>
      </w:r>
      <w:r w:rsidR="0089534B" w:rsidRPr="008B262A">
        <w:rPr>
          <w:rFonts w:eastAsia="TimesNewRoman" w:cstheme="minorHAnsi"/>
          <w:b/>
          <w:sz w:val="22"/>
          <w:szCs w:val="22"/>
          <w:lang w:val="ru-RU" w:bidi="ar-SA"/>
        </w:rPr>
        <w:t>купли-продажи электрической энергии:</w:t>
      </w:r>
    </w:p>
    <w:p w:rsidR="00B004AC" w:rsidRPr="008B262A" w:rsidRDefault="00ED42EF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b/>
          <w:i/>
          <w:sz w:val="22"/>
          <w:szCs w:val="22"/>
          <w:lang w:val="ru-RU" w:bidi="ar-SA"/>
        </w:rPr>
      </w:pPr>
      <w:r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 xml:space="preserve">Предмет договора </w:t>
      </w:r>
      <w:r w:rsidR="005C3A0C"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энергоснабжения</w:t>
      </w:r>
      <w:r w:rsidR="00B004AC"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:</w:t>
      </w:r>
    </w:p>
    <w:p w:rsidR="002F7300" w:rsidRPr="008B262A" w:rsidRDefault="00092DBA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Гарантирующий поставщик обязуется осуществлять продажу электрической энергии, а также путем заключения договоров с третьими лицами обеспечить передачу электрической энергии и предоставление иных услуг, неразрывно связанных с процессом снабжения электрической энергией электроустановок Абонента, а Абонент обязуется принимать и оплачивать приобретаемую электрическую энергию и оказанные услуги на условиях настоящего Договора.</w:t>
      </w:r>
    </w:p>
    <w:p w:rsidR="00B004AC" w:rsidRPr="008B262A" w:rsidRDefault="00B004AC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b/>
          <w:i/>
          <w:sz w:val="22"/>
          <w:szCs w:val="22"/>
          <w:lang w:val="ru-RU" w:bidi="ar-SA"/>
        </w:rPr>
      </w:pPr>
      <w:r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Предмет договора купли-продажи электроэнергии:</w:t>
      </w:r>
    </w:p>
    <w:p w:rsidR="00B004AC" w:rsidRPr="008B262A" w:rsidRDefault="00B004AC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i/>
          <w:sz w:val="22"/>
          <w:szCs w:val="22"/>
          <w:lang w:val="ru-RU" w:bidi="ar-SA"/>
        </w:rPr>
        <w:t xml:space="preserve"> </w:t>
      </w:r>
      <w:r w:rsidRPr="008B262A">
        <w:rPr>
          <w:rFonts w:eastAsia="TimesNewRoman" w:cstheme="minorHAnsi"/>
          <w:sz w:val="22"/>
          <w:szCs w:val="22"/>
          <w:lang w:val="ru-RU" w:bidi="ar-SA"/>
        </w:rPr>
        <w:t>Гарантирующий поставщик обязуется осуществлять продажу электрической энергии, а Абонент обязуется принимать и оплачивать приобретаемую электрическую энергию на условиях настоящего Договора, а также самостоятельно урегулировать отношения по передаче электрической энергии и отношения по оперативно-диспетчерскому управлению.</w:t>
      </w:r>
    </w:p>
    <w:p w:rsidR="00B004AC" w:rsidRPr="008B262A" w:rsidRDefault="00092DBA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b/>
          <w:i/>
          <w:sz w:val="22"/>
          <w:szCs w:val="22"/>
          <w:lang w:val="ru-RU" w:bidi="ar-SA"/>
        </w:rPr>
      </w:pPr>
      <w:r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Срок действия договора энергоснабжения</w:t>
      </w:r>
      <w:r w:rsidR="000B1D31"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 xml:space="preserve"> (купли-продажи)</w:t>
      </w:r>
      <w:r w:rsidR="00B004AC"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:</w:t>
      </w:r>
    </w:p>
    <w:p w:rsidR="00092DBA" w:rsidRPr="008B262A" w:rsidRDefault="00B004AC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Срок действия договора  - </w:t>
      </w:r>
      <w:r w:rsidR="000B1D31" w:rsidRPr="008B262A">
        <w:rPr>
          <w:rFonts w:eastAsia="TimesNewRoman" w:cstheme="minorHAnsi"/>
          <w:sz w:val="22"/>
          <w:szCs w:val="22"/>
          <w:lang w:bidi="ar-SA"/>
        </w:rPr>
        <w:t>c</w:t>
      </w:r>
      <w:r w:rsidR="000B1D31" w:rsidRPr="008B262A">
        <w:rPr>
          <w:rFonts w:eastAsia="TimesNewRoman" w:cstheme="minorHAnsi"/>
          <w:sz w:val="22"/>
          <w:szCs w:val="22"/>
          <w:lang w:val="ru-RU" w:bidi="ar-SA"/>
        </w:rPr>
        <w:t xml:space="preserve"> даты заключения договора до окончания календарного года</w:t>
      </w:r>
      <w:r w:rsidRPr="008B262A">
        <w:rPr>
          <w:rFonts w:eastAsia="TimesNewRoman" w:cstheme="minorHAnsi"/>
          <w:sz w:val="22"/>
          <w:szCs w:val="22"/>
          <w:lang w:val="ru-RU" w:bidi="ar-SA"/>
        </w:rPr>
        <w:t>.</w:t>
      </w:r>
      <w:r w:rsidR="00092DBA" w:rsidRPr="008B262A">
        <w:rPr>
          <w:rFonts w:eastAsia="TimesNewRoman" w:cstheme="minorHAnsi"/>
          <w:sz w:val="22"/>
          <w:szCs w:val="22"/>
          <w:lang w:val="ru-RU" w:bidi="ar-SA"/>
        </w:rPr>
        <w:t xml:space="preserve"> Договор считается продленным на следующий календарный год на тех же условиях, если не менее чем за месяц до окончания срока его действия ни одна из сторон не заявит о его прекращении или изменении его условий, либо о заключении нового договора.</w:t>
      </w:r>
    </w:p>
    <w:p w:rsidR="00B004AC" w:rsidRPr="008B262A" w:rsidRDefault="00092DBA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b/>
          <w:i/>
          <w:sz w:val="22"/>
          <w:szCs w:val="22"/>
          <w:lang w:val="ru-RU" w:bidi="ar-SA"/>
        </w:rPr>
      </w:pPr>
      <w:r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Вид цены на электрическую энергию (фиксированная или переменная)</w:t>
      </w:r>
      <w:r w:rsidR="00B004AC"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:</w:t>
      </w:r>
    </w:p>
    <w:p w:rsidR="003E7431" w:rsidRPr="008B262A" w:rsidRDefault="00B004AC" w:rsidP="00C256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Cs/>
          <w:sz w:val="22"/>
          <w:szCs w:val="22"/>
          <w:lang w:val="ru-RU" w:bidi="ar-SA"/>
        </w:rPr>
      </w:pPr>
      <w:r w:rsidRPr="008B262A">
        <w:rPr>
          <w:rFonts w:ascii="Times New Roman" w:hAnsi="Times New Roman"/>
          <w:bCs/>
          <w:sz w:val="22"/>
          <w:szCs w:val="22"/>
          <w:lang w:val="ru-RU" w:bidi="ar-SA"/>
        </w:rPr>
        <w:t>Электрическая энергия (мощность) поставляется потребителям (</w:t>
      </w:r>
      <w:r w:rsidR="000B1D31" w:rsidRPr="008B262A">
        <w:rPr>
          <w:rFonts w:ascii="Times New Roman" w:hAnsi="Times New Roman"/>
          <w:bCs/>
          <w:sz w:val="22"/>
          <w:szCs w:val="22"/>
          <w:lang w:val="ru-RU" w:bidi="ar-SA"/>
        </w:rPr>
        <w:t xml:space="preserve">или в </w:t>
      </w:r>
      <w:r w:rsidR="00AE0A3C" w:rsidRPr="008B262A">
        <w:rPr>
          <w:rFonts w:ascii="Times New Roman" w:hAnsi="Times New Roman"/>
          <w:bCs/>
          <w:sz w:val="22"/>
          <w:szCs w:val="22"/>
          <w:lang w:val="ru-RU" w:bidi="ar-SA"/>
        </w:rPr>
        <w:t xml:space="preserve">их </w:t>
      </w:r>
      <w:r w:rsidR="000B1D31" w:rsidRPr="008B262A">
        <w:rPr>
          <w:rFonts w:ascii="Times New Roman" w:hAnsi="Times New Roman"/>
          <w:bCs/>
          <w:sz w:val="22"/>
          <w:szCs w:val="22"/>
          <w:lang w:val="ru-RU" w:bidi="ar-SA"/>
        </w:rPr>
        <w:t>интересах сбытовым компаниям</w:t>
      </w:r>
      <w:r w:rsidRPr="008B262A">
        <w:rPr>
          <w:rFonts w:ascii="Times New Roman" w:hAnsi="Times New Roman"/>
          <w:bCs/>
          <w:sz w:val="22"/>
          <w:szCs w:val="22"/>
          <w:lang w:val="ru-RU" w:bidi="ar-SA"/>
        </w:rPr>
        <w:t>) по регулируемым ценам (тарифам) в объеме, приобретаемом по регулируемым ценам (тарифам) на оптовом и розничных рынках, а также по свободным (нерегулируемым) ценам в порядке, установленном действующим законодательством.</w:t>
      </w:r>
    </w:p>
    <w:p w:rsidR="00B004AC" w:rsidRPr="008B262A" w:rsidRDefault="003E7431" w:rsidP="00C2563E">
      <w:pPr>
        <w:autoSpaceDE w:val="0"/>
        <w:autoSpaceDN w:val="0"/>
        <w:adjustRightInd w:val="0"/>
        <w:ind w:firstLine="709"/>
        <w:jc w:val="both"/>
        <w:outlineLvl w:val="1"/>
        <w:rPr>
          <w:rFonts w:eastAsia="TimesNewRoman" w:cstheme="minorHAnsi"/>
          <w:b/>
          <w:i/>
          <w:sz w:val="22"/>
          <w:szCs w:val="22"/>
          <w:lang w:val="ru-RU" w:bidi="ar-SA"/>
        </w:rPr>
      </w:pPr>
      <w:r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Форма оплаты</w:t>
      </w:r>
      <w:r w:rsidR="00B004AC"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:</w:t>
      </w:r>
    </w:p>
    <w:p w:rsidR="00483794" w:rsidRPr="008B262A" w:rsidRDefault="00B004AC" w:rsidP="00C2563E">
      <w:pPr>
        <w:autoSpaceDE w:val="0"/>
        <w:autoSpaceDN w:val="0"/>
        <w:adjustRightInd w:val="0"/>
        <w:ind w:firstLine="709"/>
        <w:jc w:val="both"/>
        <w:outlineLvl w:val="1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О</w:t>
      </w:r>
      <w:r w:rsidR="003E7431" w:rsidRPr="008B262A">
        <w:rPr>
          <w:rFonts w:eastAsia="TimesNewRoman" w:cstheme="minorHAnsi"/>
          <w:sz w:val="22"/>
          <w:szCs w:val="22"/>
          <w:lang w:val="ru-RU" w:bidi="ar-SA"/>
        </w:rPr>
        <w:t>плата за электроэнергию может производиться наличными денежными средствами через кас</w:t>
      </w:r>
      <w:r w:rsidR="00483794" w:rsidRPr="008B262A">
        <w:rPr>
          <w:rFonts w:eastAsia="TimesNewRoman" w:cstheme="minorHAnsi"/>
          <w:sz w:val="22"/>
          <w:szCs w:val="22"/>
          <w:lang w:val="ru-RU" w:bidi="ar-SA"/>
        </w:rPr>
        <w:t>сы гарантирующего поставщика</w:t>
      </w:r>
      <w:r w:rsidR="003E7431" w:rsidRPr="008B262A">
        <w:rPr>
          <w:rFonts w:eastAsia="TimesNewRoman" w:cstheme="minorHAnsi"/>
          <w:sz w:val="22"/>
          <w:szCs w:val="22"/>
          <w:lang w:val="ru-RU" w:bidi="ar-SA"/>
        </w:rPr>
        <w:t>, в пунктах приема платежей</w:t>
      </w:r>
      <w:r w:rsidR="00483794" w:rsidRPr="008B262A">
        <w:rPr>
          <w:rFonts w:eastAsia="TimesNewRoman" w:cstheme="minorHAnsi"/>
          <w:sz w:val="22"/>
          <w:szCs w:val="22"/>
          <w:lang w:val="ru-RU" w:bidi="ar-SA"/>
        </w:rPr>
        <w:t>;</w:t>
      </w:r>
      <w:r w:rsidR="003E7431" w:rsidRPr="008B262A">
        <w:rPr>
          <w:rFonts w:eastAsia="TimesNewRoman" w:cstheme="minorHAnsi"/>
          <w:sz w:val="22"/>
          <w:szCs w:val="22"/>
          <w:lang w:val="ru-RU" w:bidi="ar-SA"/>
        </w:rPr>
        <w:t xml:space="preserve"> в форме безналичных расчетов через банк. </w:t>
      </w:r>
    </w:p>
    <w:p w:rsidR="00483794" w:rsidRPr="008B262A" w:rsidRDefault="00483794" w:rsidP="00C256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2"/>
          <w:szCs w:val="22"/>
          <w:lang w:val="ru-RU" w:bidi="ar-SA"/>
        </w:rPr>
      </w:pPr>
      <w:proofErr w:type="gramStart"/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Порядок оплаты электроэнергии в 2010 году  установлен </w:t>
      </w:r>
      <w:r w:rsidRPr="008B262A">
        <w:rPr>
          <w:rFonts w:ascii="Times New Roman" w:hAnsi="Times New Roman"/>
          <w:sz w:val="22"/>
          <w:szCs w:val="22"/>
          <w:lang w:val="ru-RU" w:bidi="ar-SA"/>
        </w:rPr>
        <w:t>Постановлением Правительства РФ от 31.08.2006 N 530 (</w:t>
      </w:r>
      <w:r w:rsidR="00465A55" w:rsidRPr="008B262A">
        <w:rPr>
          <w:rFonts w:ascii="Times New Roman" w:hAnsi="Times New Roman"/>
          <w:sz w:val="22"/>
          <w:szCs w:val="22"/>
          <w:lang w:val="ru-RU" w:bidi="ar-SA"/>
        </w:rPr>
        <w:t xml:space="preserve">в ред. Постановлений Правительства РФ от  17.10.2009 </w:t>
      </w:r>
      <w:r w:rsidR="00C172B3">
        <w:fldChar w:fldCharType="begin"/>
      </w:r>
      <w:r w:rsidR="00C172B3">
        <w:instrText>HYPERLINK</w:instrText>
      </w:r>
      <w:proofErr w:type="gramEnd"/>
      <w:r w:rsidR="00C172B3" w:rsidRPr="006E17D2">
        <w:rPr>
          <w:lang w:val="ru-RU"/>
        </w:rPr>
        <w:instrText xml:space="preserve"> "</w:instrText>
      </w:r>
      <w:proofErr w:type="gramStart"/>
      <w:r w:rsidR="00C172B3">
        <w:instrText>consultantplus</w:instrText>
      </w:r>
      <w:proofErr w:type="gramEnd"/>
      <w:r w:rsidR="00C172B3" w:rsidRPr="006E17D2">
        <w:rPr>
          <w:lang w:val="ru-RU"/>
        </w:rPr>
        <w:instrText>://</w:instrText>
      </w:r>
      <w:proofErr w:type="gramStart"/>
      <w:r w:rsidR="00C172B3">
        <w:instrText>offline</w:instrText>
      </w:r>
      <w:proofErr w:type="gramEnd"/>
      <w:r w:rsidR="00C172B3" w:rsidRPr="006E17D2">
        <w:rPr>
          <w:lang w:val="ru-RU"/>
        </w:rPr>
        <w:instrText>/</w:instrText>
      </w:r>
      <w:proofErr w:type="gramStart"/>
      <w:r w:rsidR="00C172B3">
        <w:instrText>main</w:instrText>
      </w:r>
      <w:proofErr w:type="gramEnd"/>
      <w:r w:rsidR="00C172B3" w:rsidRPr="006E17D2">
        <w:rPr>
          <w:lang w:val="ru-RU"/>
        </w:rPr>
        <w:instrText>?</w:instrText>
      </w:r>
      <w:proofErr w:type="gramStart"/>
      <w:r w:rsidR="00C172B3">
        <w:instrText>base</w:instrText>
      </w:r>
      <w:proofErr w:type="gramEnd"/>
      <w:r w:rsidR="00C172B3" w:rsidRPr="006E17D2">
        <w:rPr>
          <w:lang w:val="ru-RU"/>
        </w:rPr>
        <w:instrText>=</w:instrText>
      </w:r>
      <w:proofErr w:type="gramStart"/>
      <w:r w:rsidR="00C172B3">
        <w:instrText>LAW</w:instrText>
      </w:r>
      <w:proofErr w:type="gramEnd"/>
      <w:r w:rsidR="00C172B3" w:rsidRPr="006E17D2">
        <w:rPr>
          <w:lang w:val="ru-RU"/>
        </w:rPr>
        <w:instrText>;</w:instrText>
      </w:r>
      <w:proofErr w:type="gramStart"/>
      <w:r w:rsidR="00C172B3">
        <w:instrText>n</w:instrText>
      </w:r>
      <w:proofErr w:type="gramEnd"/>
      <w:r w:rsidR="00C172B3" w:rsidRPr="006E17D2">
        <w:rPr>
          <w:lang w:val="ru-RU"/>
        </w:rPr>
        <w:instrText>=112555;</w:instrText>
      </w:r>
      <w:proofErr w:type="gramStart"/>
      <w:r w:rsidR="00C172B3">
        <w:instrText>fld</w:instrText>
      </w:r>
      <w:proofErr w:type="gramEnd"/>
      <w:r w:rsidR="00C172B3" w:rsidRPr="006E17D2">
        <w:rPr>
          <w:lang w:val="ru-RU"/>
        </w:rPr>
        <w:instrText>=134;</w:instrText>
      </w:r>
      <w:proofErr w:type="gramStart"/>
      <w:r w:rsidR="00C172B3">
        <w:instrText>dst</w:instrText>
      </w:r>
      <w:proofErr w:type="gramEnd"/>
      <w:r w:rsidR="00C172B3" w:rsidRPr="006E17D2">
        <w:rPr>
          <w:lang w:val="ru-RU"/>
        </w:rPr>
        <w:instrText>=100035"</w:instrText>
      </w:r>
      <w:proofErr w:type="gramStart"/>
      <w:r w:rsidR="00C172B3">
        <w:fldChar w:fldCharType="separate"/>
      </w:r>
      <w:r w:rsidR="00465A55" w:rsidRPr="008B262A">
        <w:rPr>
          <w:rFonts w:ascii="Times New Roman" w:hAnsi="Times New Roman"/>
          <w:sz w:val="22"/>
          <w:szCs w:val="22"/>
          <w:lang w:val="ru-RU" w:bidi="ar-SA"/>
        </w:rPr>
        <w:t>N 816</w:t>
      </w:r>
      <w:r w:rsidR="00C172B3">
        <w:fldChar w:fldCharType="end"/>
      </w:r>
      <w:r w:rsidR="00465A55" w:rsidRPr="008B262A">
        <w:rPr>
          <w:rFonts w:ascii="Times New Roman" w:hAnsi="Times New Roman"/>
          <w:sz w:val="22"/>
          <w:szCs w:val="22"/>
          <w:lang w:val="ru-RU" w:bidi="ar-SA"/>
        </w:rPr>
        <w:t xml:space="preserve">, от 26.02.2010 </w:t>
      </w:r>
      <w:r w:rsidR="00C172B3">
        <w:fldChar w:fldCharType="begin"/>
      </w:r>
      <w:r w:rsidR="00C172B3">
        <w:instrText>HYPERLINK</w:instrText>
      </w:r>
      <w:proofErr w:type="gramEnd"/>
      <w:r w:rsidR="00C172B3" w:rsidRPr="006E17D2">
        <w:rPr>
          <w:lang w:val="ru-RU"/>
        </w:rPr>
        <w:instrText xml:space="preserve"> "</w:instrText>
      </w:r>
      <w:proofErr w:type="gramStart"/>
      <w:r w:rsidR="00C172B3">
        <w:instrText>consultantplus</w:instrText>
      </w:r>
      <w:proofErr w:type="gramEnd"/>
      <w:r w:rsidR="00C172B3" w:rsidRPr="006E17D2">
        <w:rPr>
          <w:lang w:val="ru-RU"/>
        </w:rPr>
        <w:instrText>://</w:instrText>
      </w:r>
      <w:proofErr w:type="gramStart"/>
      <w:r w:rsidR="00C172B3">
        <w:instrText>offline</w:instrText>
      </w:r>
      <w:proofErr w:type="gramEnd"/>
      <w:r w:rsidR="00C172B3" w:rsidRPr="006E17D2">
        <w:rPr>
          <w:lang w:val="ru-RU"/>
        </w:rPr>
        <w:instrText>/</w:instrText>
      </w:r>
      <w:proofErr w:type="gramStart"/>
      <w:r w:rsidR="00C172B3">
        <w:instrText>main</w:instrText>
      </w:r>
      <w:proofErr w:type="gramEnd"/>
      <w:r w:rsidR="00C172B3" w:rsidRPr="006E17D2">
        <w:rPr>
          <w:lang w:val="ru-RU"/>
        </w:rPr>
        <w:instrText>?</w:instrText>
      </w:r>
      <w:proofErr w:type="gramStart"/>
      <w:r w:rsidR="00C172B3">
        <w:instrText>base</w:instrText>
      </w:r>
      <w:proofErr w:type="gramEnd"/>
      <w:r w:rsidR="00C172B3" w:rsidRPr="006E17D2">
        <w:rPr>
          <w:lang w:val="ru-RU"/>
        </w:rPr>
        <w:instrText>=</w:instrText>
      </w:r>
      <w:proofErr w:type="gramStart"/>
      <w:r w:rsidR="00C172B3">
        <w:instrText>LAW</w:instrText>
      </w:r>
      <w:proofErr w:type="gramEnd"/>
      <w:r w:rsidR="00C172B3" w:rsidRPr="006E17D2">
        <w:rPr>
          <w:lang w:val="ru-RU"/>
        </w:rPr>
        <w:instrText>;</w:instrText>
      </w:r>
      <w:proofErr w:type="gramStart"/>
      <w:r w:rsidR="00C172B3">
        <w:instrText>n</w:instrText>
      </w:r>
      <w:proofErr w:type="gramEnd"/>
      <w:r w:rsidR="00C172B3" w:rsidRPr="006E17D2">
        <w:rPr>
          <w:lang w:val="ru-RU"/>
        </w:rPr>
        <w:instrText>=98087;</w:instrText>
      </w:r>
      <w:proofErr w:type="gramStart"/>
      <w:r w:rsidR="00C172B3">
        <w:instrText>fld</w:instrText>
      </w:r>
      <w:proofErr w:type="gramEnd"/>
      <w:r w:rsidR="00C172B3" w:rsidRPr="006E17D2">
        <w:rPr>
          <w:lang w:val="ru-RU"/>
        </w:rPr>
        <w:instrText>=134;</w:instrText>
      </w:r>
      <w:proofErr w:type="gramStart"/>
      <w:r w:rsidR="00C172B3">
        <w:instrText>dst</w:instrText>
      </w:r>
      <w:proofErr w:type="gramEnd"/>
      <w:r w:rsidR="00C172B3" w:rsidRPr="006E17D2">
        <w:rPr>
          <w:lang w:val="ru-RU"/>
        </w:rPr>
        <w:instrText>=100005"</w:instrText>
      </w:r>
      <w:proofErr w:type="gramStart"/>
      <w:r w:rsidR="00C172B3">
        <w:fldChar w:fldCharType="separate"/>
      </w:r>
      <w:r w:rsidR="00465A55" w:rsidRPr="008B262A">
        <w:rPr>
          <w:rFonts w:ascii="Times New Roman" w:hAnsi="Times New Roman"/>
          <w:sz w:val="22"/>
          <w:szCs w:val="22"/>
          <w:lang w:val="ru-RU" w:bidi="ar-SA"/>
        </w:rPr>
        <w:t>N 94</w:t>
      </w:r>
      <w:r w:rsidR="00C172B3">
        <w:fldChar w:fldCharType="end"/>
      </w:r>
      <w:r w:rsidR="00465A55" w:rsidRPr="008B262A">
        <w:rPr>
          <w:rFonts w:ascii="Times New Roman" w:hAnsi="Times New Roman"/>
          <w:sz w:val="22"/>
          <w:szCs w:val="22"/>
          <w:lang w:val="ru-RU" w:bidi="ar-SA"/>
        </w:rPr>
        <w:t xml:space="preserve">, от 15.05.2010 </w:t>
      </w:r>
      <w:r w:rsidR="00C172B3">
        <w:fldChar w:fldCharType="begin"/>
      </w:r>
      <w:r w:rsidR="00C172B3">
        <w:instrText>HYPERLINK</w:instrText>
      </w:r>
      <w:proofErr w:type="gramEnd"/>
      <w:r w:rsidR="00C172B3" w:rsidRPr="006E17D2">
        <w:rPr>
          <w:lang w:val="ru-RU"/>
        </w:rPr>
        <w:instrText xml:space="preserve"> "</w:instrText>
      </w:r>
      <w:proofErr w:type="gramStart"/>
      <w:r w:rsidR="00C172B3">
        <w:instrText>consultantplus</w:instrText>
      </w:r>
      <w:proofErr w:type="gramEnd"/>
      <w:r w:rsidR="00C172B3" w:rsidRPr="006E17D2">
        <w:rPr>
          <w:lang w:val="ru-RU"/>
        </w:rPr>
        <w:instrText>://</w:instrText>
      </w:r>
      <w:proofErr w:type="gramStart"/>
      <w:r w:rsidR="00C172B3">
        <w:instrText>offline</w:instrText>
      </w:r>
      <w:proofErr w:type="gramEnd"/>
      <w:r w:rsidR="00C172B3" w:rsidRPr="006E17D2">
        <w:rPr>
          <w:lang w:val="ru-RU"/>
        </w:rPr>
        <w:instrText>/</w:instrText>
      </w:r>
      <w:proofErr w:type="gramStart"/>
      <w:r w:rsidR="00C172B3">
        <w:instrText>main</w:instrText>
      </w:r>
      <w:proofErr w:type="gramEnd"/>
      <w:r w:rsidR="00C172B3" w:rsidRPr="006E17D2">
        <w:rPr>
          <w:lang w:val="ru-RU"/>
        </w:rPr>
        <w:instrText>?</w:instrText>
      </w:r>
      <w:proofErr w:type="gramStart"/>
      <w:r w:rsidR="00C172B3">
        <w:instrText>base</w:instrText>
      </w:r>
      <w:proofErr w:type="gramEnd"/>
      <w:r w:rsidR="00C172B3" w:rsidRPr="006E17D2">
        <w:rPr>
          <w:lang w:val="ru-RU"/>
        </w:rPr>
        <w:instrText>=</w:instrText>
      </w:r>
      <w:proofErr w:type="gramStart"/>
      <w:r w:rsidR="00C172B3">
        <w:instrText>LAW</w:instrText>
      </w:r>
      <w:proofErr w:type="gramEnd"/>
      <w:r w:rsidR="00C172B3" w:rsidRPr="006E17D2">
        <w:rPr>
          <w:lang w:val="ru-RU"/>
        </w:rPr>
        <w:instrText>;</w:instrText>
      </w:r>
      <w:proofErr w:type="gramStart"/>
      <w:r w:rsidR="00C172B3">
        <w:instrText>n</w:instrText>
      </w:r>
      <w:proofErr w:type="gramEnd"/>
      <w:r w:rsidR="00C172B3" w:rsidRPr="006E17D2">
        <w:rPr>
          <w:lang w:val="ru-RU"/>
        </w:rPr>
        <w:instrText>=112564;</w:instrText>
      </w:r>
      <w:proofErr w:type="gramStart"/>
      <w:r w:rsidR="00C172B3">
        <w:instrText>fld</w:instrText>
      </w:r>
      <w:proofErr w:type="gramEnd"/>
      <w:r w:rsidR="00C172B3" w:rsidRPr="006E17D2">
        <w:rPr>
          <w:lang w:val="ru-RU"/>
        </w:rPr>
        <w:instrText>=134;</w:instrText>
      </w:r>
      <w:proofErr w:type="gramStart"/>
      <w:r w:rsidR="00C172B3">
        <w:instrText>dst</w:instrText>
      </w:r>
      <w:proofErr w:type="gramEnd"/>
      <w:r w:rsidR="00C172B3" w:rsidRPr="006E17D2">
        <w:rPr>
          <w:lang w:val="ru-RU"/>
        </w:rPr>
        <w:instrText>=100091"</w:instrText>
      </w:r>
      <w:proofErr w:type="gramStart"/>
      <w:r w:rsidR="00C172B3">
        <w:fldChar w:fldCharType="separate"/>
      </w:r>
      <w:r w:rsidR="00465A55" w:rsidRPr="008B262A">
        <w:rPr>
          <w:rFonts w:ascii="Times New Roman" w:hAnsi="Times New Roman"/>
          <w:sz w:val="22"/>
          <w:szCs w:val="22"/>
          <w:lang w:val="ru-RU" w:bidi="ar-SA"/>
        </w:rPr>
        <w:t>N 344</w:t>
      </w:r>
      <w:r w:rsidR="00C172B3">
        <w:fldChar w:fldCharType="end"/>
      </w:r>
      <w:r w:rsidR="00465A55" w:rsidRPr="008B262A">
        <w:rPr>
          <w:rFonts w:ascii="Times New Roman" w:hAnsi="Times New Roman"/>
          <w:sz w:val="22"/>
          <w:szCs w:val="22"/>
          <w:lang w:val="ru-RU" w:bidi="ar-SA"/>
        </w:rPr>
        <w:t xml:space="preserve">, от 09.06.2010 </w:t>
      </w:r>
      <w:r w:rsidR="00C172B3">
        <w:fldChar w:fldCharType="begin"/>
      </w:r>
      <w:r w:rsidR="00C172B3">
        <w:instrText>HYPERLINK</w:instrText>
      </w:r>
      <w:proofErr w:type="gramEnd"/>
      <w:r w:rsidR="00C172B3" w:rsidRPr="006E17D2">
        <w:rPr>
          <w:lang w:val="ru-RU"/>
        </w:rPr>
        <w:instrText xml:space="preserve"> "</w:instrText>
      </w:r>
      <w:proofErr w:type="gramStart"/>
      <w:r w:rsidR="00C172B3">
        <w:instrText>consultantplus</w:instrText>
      </w:r>
      <w:proofErr w:type="gramEnd"/>
      <w:r w:rsidR="00C172B3" w:rsidRPr="006E17D2">
        <w:rPr>
          <w:lang w:val="ru-RU"/>
        </w:rPr>
        <w:instrText>://</w:instrText>
      </w:r>
      <w:proofErr w:type="gramStart"/>
      <w:r w:rsidR="00C172B3">
        <w:instrText>offline</w:instrText>
      </w:r>
      <w:proofErr w:type="gramEnd"/>
      <w:r w:rsidR="00C172B3" w:rsidRPr="006E17D2">
        <w:rPr>
          <w:lang w:val="ru-RU"/>
        </w:rPr>
        <w:instrText>/</w:instrText>
      </w:r>
      <w:proofErr w:type="gramStart"/>
      <w:r w:rsidR="00C172B3">
        <w:instrText>main</w:instrText>
      </w:r>
      <w:proofErr w:type="gramEnd"/>
      <w:r w:rsidR="00C172B3" w:rsidRPr="006E17D2">
        <w:rPr>
          <w:lang w:val="ru-RU"/>
        </w:rPr>
        <w:instrText>?</w:instrText>
      </w:r>
      <w:proofErr w:type="gramStart"/>
      <w:r w:rsidR="00C172B3">
        <w:instrText>base</w:instrText>
      </w:r>
      <w:proofErr w:type="gramEnd"/>
      <w:r w:rsidR="00C172B3" w:rsidRPr="006E17D2">
        <w:rPr>
          <w:lang w:val="ru-RU"/>
        </w:rPr>
        <w:instrText>=</w:instrText>
      </w:r>
      <w:proofErr w:type="gramStart"/>
      <w:r w:rsidR="00C172B3">
        <w:instrText>LAW</w:instrText>
      </w:r>
      <w:proofErr w:type="gramEnd"/>
      <w:r w:rsidR="00C172B3" w:rsidRPr="006E17D2">
        <w:rPr>
          <w:lang w:val="ru-RU"/>
        </w:rPr>
        <w:instrText>;</w:instrText>
      </w:r>
      <w:proofErr w:type="gramStart"/>
      <w:r w:rsidR="00C172B3">
        <w:instrText>n</w:instrText>
      </w:r>
      <w:proofErr w:type="gramEnd"/>
      <w:r w:rsidR="00C172B3" w:rsidRPr="006E17D2">
        <w:rPr>
          <w:lang w:val="ru-RU"/>
        </w:rPr>
        <w:instrText>=112566;</w:instrText>
      </w:r>
      <w:proofErr w:type="gramStart"/>
      <w:r w:rsidR="00C172B3">
        <w:instrText>fld</w:instrText>
      </w:r>
      <w:proofErr w:type="gramEnd"/>
      <w:r w:rsidR="00C172B3" w:rsidRPr="006E17D2">
        <w:rPr>
          <w:lang w:val="ru-RU"/>
        </w:rPr>
        <w:instrText>=134;</w:instrText>
      </w:r>
      <w:proofErr w:type="gramStart"/>
      <w:r w:rsidR="00C172B3">
        <w:instrText>dst</w:instrText>
      </w:r>
      <w:proofErr w:type="gramEnd"/>
      <w:r w:rsidR="00C172B3" w:rsidRPr="006E17D2">
        <w:rPr>
          <w:lang w:val="ru-RU"/>
        </w:rPr>
        <w:instrText>=100027"</w:instrText>
      </w:r>
      <w:proofErr w:type="gramStart"/>
      <w:r w:rsidR="00C172B3">
        <w:fldChar w:fldCharType="separate"/>
      </w:r>
      <w:r w:rsidR="00465A55" w:rsidRPr="008B262A">
        <w:rPr>
          <w:rFonts w:ascii="Times New Roman" w:hAnsi="Times New Roman"/>
          <w:sz w:val="22"/>
          <w:szCs w:val="22"/>
          <w:lang w:val="ru-RU" w:bidi="ar-SA"/>
        </w:rPr>
        <w:t>N 416</w:t>
      </w:r>
      <w:r w:rsidR="00C172B3">
        <w:fldChar w:fldCharType="end"/>
      </w:r>
      <w:r w:rsidR="00465A55" w:rsidRPr="008B262A">
        <w:rPr>
          <w:rFonts w:ascii="Times New Roman" w:hAnsi="Times New Roman"/>
          <w:sz w:val="22"/>
          <w:szCs w:val="22"/>
          <w:lang w:val="ru-RU" w:bidi="ar-SA"/>
        </w:rPr>
        <w:t xml:space="preserve">, от 27.11.2010 </w:t>
      </w:r>
      <w:r w:rsidR="00C172B3">
        <w:fldChar w:fldCharType="begin"/>
      </w:r>
      <w:r w:rsidR="00C172B3">
        <w:instrText>HYPERLINK</w:instrText>
      </w:r>
      <w:proofErr w:type="gramEnd"/>
      <w:r w:rsidR="00C172B3" w:rsidRPr="006E17D2">
        <w:rPr>
          <w:lang w:val="ru-RU"/>
        </w:rPr>
        <w:instrText xml:space="preserve"> "</w:instrText>
      </w:r>
      <w:proofErr w:type="gramStart"/>
      <w:r w:rsidR="00C172B3">
        <w:instrText>consultantplus</w:instrText>
      </w:r>
      <w:proofErr w:type="gramEnd"/>
      <w:r w:rsidR="00C172B3" w:rsidRPr="006E17D2">
        <w:rPr>
          <w:lang w:val="ru-RU"/>
        </w:rPr>
        <w:instrText>://</w:instrText>
      </w:r>
      <w:proofErr w:type="gramStart"/>
      <w:r w:rsidR="00C172B3">
        <w:instrText>offline</w:instrText>
      </w:r>
      <w:proofErr w:type="gramEnd"/>
      <w:r w:rsidR="00C172B3" w:rsidRPr="006E17D2">
        <w:rPr>
          <w:lang w:val="ru-RU"/>
        </w:rPr>
        <w:instrText>/</w:instrText>
      </w:r>
      <w:proofErr w:type="gramStart"/>
      <w:r w:rsidR="00C172B3">
        <w:instrText>main</w:instrText>
      </w:r>
      <w:proofErr w:type="gramEnd"/>
      <w:r w:rsidR="00C172B3" w:rsidRPr="006E17D2">
        <w:rPr>
          <w:lang w:val="ru-RU"/>
        </w:rPr>
        <w:instrText>?</w:instrText>
      </w:r>
      <w:proofErr w:type="gramStart"/>
      <w:r w:rsidR="00C172B3">
        <w:instrText>base</w:instrText>
      </w:r>
      <w:proofErr w:type="gramEnd"/>
      <w:r w:rsidR="00C172B3" w:rsidRPr="006E17D2">
        <w:rPr>
          <w:lang w:val="ru-RU"/>
        </w:rPr>
        <w:instrText>=</w:instrText>
      </w:r>
      <w:proofErr w:type="gramStart"/>
      <w:r w:rsidR="00C172B3">
        <w:instrText>LAW</w:instrText>
      </w:r>
      <w:proofErr w:type="gramEnd"/>
      <w:r w:rsidR="00C172B3" w:rsidRPr="006E17D2">
        <w:rPr>
          <w:lang w:val="ru-RU"/>
        </w:rPr>
        <w:instrText>;</w:instrText>
      </w:r>
      <w:proofErr w:type="gramStart"/>
      <w:r w:rsidR="00C172B3">
        <w:instrText>n</w:instrText>
      </w:r>
      <w:proofErr w:type="gramEnd"/>
      <w:r w:rsidR="00C172B3" w:rsidRPr="006E17D2">
        <w:rPr>
          <w:lang w:val="ru-RU"/>
        </w:rPr>
        <w:instrText>=107382;</w:instrText>
      </w:r>
      <w:proofErr w:type="gramStart"/>
      <w:r w:rsidR="00C172B3">
        <w:instrText>fld</w:instrText>
      </w:r>
      <w:proofErr w:type="gramEnd"/>
      <w:r w:rsidR="00C172B3" w:rsidRPr="006E17D2">
        <w:rPr>
          <w:lang w:val="ru-RU"/>
        </w:rPr>
        <w:instrText>=134;</w:instrText>
      </w:r>
      <w:proofErr w:type="gramStart"/>
      <w:r w:rsidR="00C172B3">
        <w:instrText>dst</w:instrText>
      </w:r>
      <w:proofErr w:type="gramEnd"/>
      <w:r w:rsidR="00C172B3" w:rsidRPr="006E17D2">
        <w:rPr>
          <w:lang w:val="ru-RU"/>
        </w:rPr>
        <w:instrText>=100005"</w:instrText>
      </w:r>
      <w:proofErr w:type="gramStart"/>
      <w:r w:rsidR="00C172B3">
        <w:fldChar w:fldCharType="separate"/>
      </w:r>
      <w:r w:rsidR="00465A55" w:rsidRPr="008B262A">
        <w:rPr>
          <w:rFonts w:ascii="Times New Roman" w:hAnsi="Times New Roman"/>
          <w:sz w:val="22"/>
          <w:szCs w:val="22"/>
          <w:lang w:val="ru-RU" w:bidi="ar-SA"/>
        </w:rPr>
        <w:t>N 944</w:t>
      </w:r>
      <w:r w:rsidR="00C172B3">
        <w:fldChar w:fldCharType="end"/>
      </w:r>
      <w:r w:rsidR="00BE324A" w:rsidRPr="008B262A">
        <w:rPr>
          <w:rFonts w:ascii="Times New Roman" w:hAnsi="Times New Roman"/>
          <w:sz w:val="22"/>
          <w:szCs w:val="22"/>
          <w:lang w:val="ru-RU" w:bidi="ar-SA"/>
        </w:rPr>
        <w:t xml:space="preserve">) </w:t>
      </w:r>
      <w:r w:rsidRPr="008B262A">
        <w:rPr>
          <w:rFonts w:ascii="Times New Roman" w:hAnsi="Times New Roman"/>
          <w:sz w:val="22"/>
          <w:szCs w:val="22"/>
          <w:lang w:val="ru-RU" w:bidi="ar-SA"/>
        </w:rPr>
        <w:t>"Об утверждении основных положений функционирования розничных рынков электрической энергии"</w:t>
      </w:r>
      <w:proofErr w:type="gramEnd"/>
    </w:p>
    <w:p w:rsidR="00567AE4" w:rsidRPr="008B262A" w:rsidRDefault="00AD5C53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b/>
          <w:i/>
          <w:sz w:val="22"/>
          <w:szCs w:val="22"/>
          <w:lang w:val="ru-RU" w:bidi="ar-SA"/>
        </w:rPr>
      </w:pPr>
      <w:r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Форма обеспечения исполнения обязательств по договору</w:t>
      </w:r>
      <w:r w:rsidR="00567AE4"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:</w:t>
      </w:r>
    </w:p>
    <w:p w:rsidR="00ED42EF" w:rsidRPr="008B262A" w:rsidRDefault="00650378" w:rsidP="00C2563E">
      <w:pPr>
        <w:autoSpaceDE w:val="0"/>
        <w:autoSpaceDN w:val="0"/>
        <w:adjustRightInd w:val="0"/>
        <w:ind w:firstLine="709"/>
        <w:jc w:val="both"/>
        <w:rPr>
          <w:rFonts w:cstheme="minorHAnsi"/>
          <w:color w:val="000000"/>
          <w:sz w:val="22"/>
          <w:szCs w:val="22"/>
          <w:lang w:val="ru-RU"/>
        </w:rPr>
      </w:pPr>
      <w:r w:rsidRPr="008B262A">
        <w:rPr>
          <w:rFonts w:cstheme="minorHAnsi"/>
          <w:color w:val="000000"/>
          <w:sz w:val="22"/>
          <w:szCs w:val="22"/>
          <w:lang w:val="ru-RU"/>
        </w:rPr>
        <w:t xml:space="preserve">Неустойка (штраф). </w:t>
      </w:r>
    </w:p>
    <w:p w:rsidR="00650378" w:rsidRPr="008B262A" w:rsidRDefault="00ED42EF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b/>
          <w:i/>
          <w:sz w:val="22"/>
          <w:szCs w:val="22"/>
          <w:lang w:val="ru-RU" w:bidi="ar-SA"/>
        </w:rPr>
      </w:pPr>
      <w:r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Зона обслуживания</w:t>
      </w:r>
      <w:r w:rsidR="00650378"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:</w:t>
      </w:r>
    </w:p>
    <w:p w:rsidR="008D5A36" w:rsidRPr="008B262A" w:rsidRDefault="00590255" w:rsidP="00C256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 w:bidi="ar-SA"/>
        </w:rPr>
      </w:pPr>
      <w:proofErr w:type="gramStart"/>
      <w:r w:rsidRPr="008B262A">
        <w:rPr>
          <w:rFonts w:ascii="Times New Roman" w:hAnsi="Times New Roman"/>
          <w:sz w:val="22"/>
          <w:szCs w:val="22"/>
          <w:lang w:val="ru-RU" w:bidi="ar-SA"/>
        </w:rPr>
        <w:t>границы части территории муниципального образования "город Екатеринбург" в границах балансовой принадлежности</w:t>
      </w:r>
      <w:r w:rsidR="008E5DA9" w:rsidRPr="008B262A">
        <w:rPr>
          <w:rFonts w:ascii="Times New Roman" w:hAnsi="Times New Roman"/>
          <w:sz w:val="22"/>
          <w:szCs w:val="22"/>
          <w:lang w:val="ru-RU" w:bidi="ar-SA"/>
        </w:rPr>
        <w:t xml:space="preserve"> </w:t>
      </w:r>
      <w:r w:rsidRPr="008B262A">
        <w:rPr>
          <w:rFonts w:ascii="Times New Roman" w:hAnsi="Times New Roman"/>
          <w:sz w:val="22"/>
          <w:szCs w:val="22"/>
          <w:lang w:val="ru-RU" w:bidi="ar-SA"/>
        </w:rPr>
        <w:t>электрических сетей открытого акционерного общества "Екатеринбургская электросетевая компания", смежных сетевых организаций и иных владельцев электросетевого хозяйства, получающих электрическую энергию из сетей открытого акционерного общества "Екатеринбургская электросетевая компания" или отпускающих электрическую энергию в сети открытого акционерного общества "Екатеринбургская электросетевая компания" от производителей электрической энергии (за исключением сетей открытого акционерного общества</w:t>
      </w:r>
      <w:proofErr w:type="gramEnd"/>
      <w:r w:rsidRPr="008B262A">
        <w:rPr>
          <w:rFonts w:ascii="Times New Roman" w:hAnsi="Times New Roman"/>
          <w:sz w:val="22"/>
          <w:szCs w:val="22"/>
          <w:lang w:val="ru-RU" w:bidi="ar-SA"/>
        </w:rPr>
        <w:t xml:space="preserve"> "</w:t>
      </w:r>
      <w:proofErr w:type="gramStart"/>
      <w:r w:rsidRPr="008B262A">
        <w:rPr>
          <w:rFonts w:ascii="Times New Roman" w:hAnsi="Times New Roman"/>
          <w:sz w:val="22"/>
          <w:szCs w:val="22"/>
          <w:lang w:val="ru-RU" w:bidi="ar-SA"/>
        </w:rPr>
        <w:t>МРСК Урала" на территории Свердловской области, сетей государственного унитарного предприятия Свердловской области "</w:t>
      </w:r>
      <w:proofErr w:type="spellStart"/>
      <w:r w:rsidRPr="008B262A">
        <w:rPr>
          <w:rFonts w:ascii="Times New Roman" w:hAnsi="Times New Roman"/>
          <w:sz w:val="22"/>
          <w:szCs w:val="22"/>
          <w:lang w:val="ru-RU" w:bidi="ar-SA"/>
        </w:rPr>
        <w:t>Облкоммунэнерго</w:t>
      </w:r>
      <w:proofErr w:type="spellEnd"/>
      <w:r w:rsidRPr="008B262A">
        <w:rPr>
          <w:rFonts w:ascii="Times New Roman" w:hAnsi="Times New Roman"/>
          <w:sz w:val="22"/>
          <w:szCs w:val="22"/>
          <w:lang w:val="ru-RU" w:bidi="ar-SA"/>
        </w:rPr>
        <w:t>" и сетей, определяющих зону деятельности другого гарантирующего поставщика, кроме открытого акционерного</w:t>
      </w:r>
      <w:r w:rsidR="008D5A36" w:rsidRPr="008B262A">
        <w:rPr>
          <w:rFonts w:ascii="Times New Roman" w:hAnsi="Times New Roman"/>
          <w:sz w:val="22"/>
          <w:szCs w:val="22"/>
          <w:lang w:val="ru-RU" w:bidi="ar-SA"/>
        </w:rPr>
        <w:t xml:space="preserve"> общества "Свердловэнергосбыт")</w:t>
      </w:r>
      <w:r w:rsidR="0006613E" w:rsidRPr="008B262A">
        <w:rPr>
          <w:rFonts w:ascii="Times New Roman" w:hAnsi="Times New Roman"/>
          <w:sz w:val="22"/>
          <w:szCs w:val="22"/>
          <w:lang w:val="ru-RU" w:bidi="ar-SA"/>
        </w:rPr>
        <w:t xml:space="preserve"> (</w:t>
      </w:r>
      <w:r w:rsidR="0006613E" w:rsidRPr="008B262A">
        <w:rPr>
          <w:rFonts w:eastAsia="TimesNewRoman" w:cstheme="minorHAnsi"/>
          <w:sz w:val="22"/>
          <w:szCs w:val="22"/>
          <w:lang w:val="ru-RU" w:bidi="ar-SA"/>
        </w:rPr>
        <w:t>П</w:t>
      </w:r>
      <w:r w:rsidR="0006613E" w:rsidRPr="008B262A">
        <w:rPr>
          <w:rFonts w:ascii="Times New Roman" w:hAnsi="Times New Roman"/>
          <w:sz w:val="22"/>
          <w:szCs w:val="22"/>
          <w:lang w:val="ru-RU" w:bidi="ar-SA"/>
        </w:rPr>
        <w:t xml:space="preserve">остановление РЭК Свердловской области № 130-ПК от 17.10.2006 «О гарантирующих поставщиках электрической энергии на территории Свердловской области» (в ред. Постановлений РЭК Свердловской области от 22.11.2006 </w:t>
      </w:r>
      <w:hyperlink r:id="rId4" w:history="1">
        <w:r w:rsidR="0006613E" w:rsidRPr="008B262A">
          <w:rPr>
            <w:rFonts w:ascii="Times New Roman" w:hAnsi="Times New Roman"/>
            <w:sz w:val="22"/>
            <w:szCs w:val="22"/>
            <w:lang w:val="ru-RU" w:bidi="ar-SA"/>
          </w:rPr>
          <w:t>№ 166-ПК</w:t>
        </w:r>
      </w:hyperlink>
      <w:r w:rsidR="0006613E" w:rsidRPr="008B262A">
        <w:rPr>
          <w:rFonts w:ascii="Times New Roman" w:hAnsi="Times New Roman"/>
          <w:sz w:val="22"/>
          <w:szCs w:val="22"/>
          <w:lang w:val="ru-RU" w:bidi="ar-SA"/>
        </w:rPr>
        <w:t xml:space="preserve">, от 06.02.2008 </w:t>
      </w:r>
      <w:hyperlink r:id="rId5" w:history="1">
        <w:r w:rsidR="0006613E" w:rsidRPr="008B262A">
          <w:rPr>
            <w:rFonts w:ascii="Times New Roman" w:hAnsi="Times New Roman"/>
            <w:sz w:val="22"/>
            <w:szCs w:val="22"/>
            <w:lang w:val="ru-RU" w:bidi="ar-SA"/>
          </w:rPr>
          <w:t>№ 21-</w:t>
        </w:r>
      </w:hyperlink>
      <w:r w:rsidR="0006613E" w:rsidRPr="008B262A">
        <w:rPr>
          <w:rFonts w:ascii="Times New Roman" w:hAnsi="Times New Roman"/>
          <w:sz w:val="22"/>
          <w:szCs w:val="22"/>
          <w:lang w:val="ru-RU" w:bidi="ar-SA"/>
        </w:rPr>
        <w:t xml:space="preserve">ПК, от 21.03.2008 </w:t>
      </w:r>
      <w:hyperlink r:id="rId6" w:history="1">
        <w:r w:rsidR="0006613E" w:rsidRPr="008B262A">
          <w:rPr>
            <w:rFonts w:ascii="Times New Roman" w:hAnsi="Times New Roman"/>
            <w:sz w:val="22"/>
            <w:szCs w:val="22"/>
            <w:lang w:val="ru-RU" w:bidi="ar-SA"/>
          </w:rPr>
          <w:t>№ 38-</w:t>
        </w:r>
      </w:hyperlink>
      <w:r w:rsidR="0006613E" w:rsidRPr="008B262A">
        <w:rPr>
          <w:rFonts w:ascii="Times New Roman" w:hAnsi="Times New Roman"/>
          <w:sz w:val="22"/>
          <w:szCs w:val="22"/>
          <w:lang w:val="ru-RU" w:bidi="ar-SA"/>
        </w:rPr>
        <w:t>ПК, от</w:t>
      </w:r>
      <w:proofErr w:type="gramEnd"/>
      <w:r w:rsidR="0006613E" w:rsidRPr="008B262A">
        <w:rPr>
          <w:rFonts w:ascii="Times New Roman" w:hAnsi="Times New Roman"/>
          <w:sz w:val="22"/>
          <w:szCs w:val="22"/>
          <w:lang w:val="ru-RU" w:bidi="ar-SA"/>
        </w:rPr>
        <w:t xml:space="preserve"> </w:t>
      </w:r>
      <w:proofErr w:type="gramStart"/>
      <w:r w:rsidR="0006613E" w:rsidRPr="008B262A">
        <w:rPr>
          <w:rFonts w:ascii="Times New Roman" w:hAnsi="Times New Roman"/>
          <w:sz w:val="22"/>
          <w:szCs w:val="22"/>
          <w:lang w:val="ru-RU" w:bidi="ar-SA"/>
        </w:rPr>
        <w:t xml:space="preserve">21.05.2008 </w:t>
      </w:r>
      <w:hyperlink r:id="rId7" w:history="1">
        <w:r w:rsidR="0006613E" w:rsidRPr="008B262A">
          <w:rPr>
            <w:rFonts w:ascii="Times New Roman" w:hAnsi="Times New Roman"/>
            <w:sz w:val="22"/>
            <w:szCs w:val="22"/>
            <w:lang w:val="ru-RU" w:bidi="ar-SA"/>
          </w:rPr>
          <w:t>№ 68-</w:t>
        </w:r>
      </w:hyperlink>
      <w:r w:rsidR="0006613E" w:rsidRPr="008B262A">
        <w:rPr>
          <w:rFonts w:ascii="Times New Roman" w:hAnsi="Times New Roman"/>
          <w:sz w:val="22"/>
          <w:szCs w:val="22"/>
          <w:lang w:val="ru-RU" w:bidi="ar-SA"/>
        </w:rPr>
        <w:t xml:space="preserve">ПК, от 30.09.2008 </w:t>
      </w:r>
      <w:hyperlink r:id="rId8" w:history="1">
        <w:r w:rsidR="0006613E" w:rsidRPr="008B262A">
          <w:rPr>
            <w:rFonts w:ascii="Times New Roman" w:hAnsi="Times New Roman"/>
            <w:sz w:val="22"/>
            <w:szCs w:val="22"/>
            <w:lang w:val="ru-RU" w:bidi="ar-SA"/>
          </w:rPr>
          <w:t>№ 111-</w:t>
        </w:r>
      </w:hyperlink>
      <w:r w:rsidR="0006613E" w:rsidRPr="008B262A">
        <w:rPr>
          <w:rFonts w:ascii="Times New Roman" w:hAnsi="Times New Roman"/>
          <w:sz w:val="22"/>
          <w:szCs w:val="22"/>
          <w:lang w:val="ru-RU" w:bidi="ar-SA"/>
        </w:rPr>
        <w:t xml:space="preserve">ПК, от 04.12.2008 </w:t>
      </w:r>
      <w:hyperlink r:id="rId9" w:history="1">
        <w:r w:rsidR="0006613E" w:rsidRPr="008B262A">
          <w:rPr>
            <w:rFonts w:ascii="Times New Roman" w:hAnsi="Times New Roman"/>
            <w:sz w:val="22"/>
            <w:szCs w:val="22"/>
            <w:lang w:val="ru-RU" w:bidi="ar-SA"/>
          </w:rPr>
          <w:t>№ 153-</w:t>
        </w:r>
      </w:hyperlink>
      <w:r w:rsidR="0006613E" w:rsidRPr="008B262A">
        <w:rPr>
          <w:rFonts w:ascii="Times New Roman" w:hAnsi="Times New Roman"/>
          <w:sz w:val="22"/>
          <w:szCs w:val="22"/>
          <w:lang w:val="ru-RU" w:bidi="ar-SA"/>
        </w:rPr>
        <w:t>ПК).</w:t>
      </w:r>
      <w:proofErr w:type="gramEnd"/>
    </w:p>
    <w:p w:rsidR="00650378" w:rsidRPr="008B262A" w:rsidRDefault="001330F7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b/>
          <w:i/>
          <w:sz w:val="22"/>
          <w:szCs w:val="22"/>
          <w:lang w:val="ru-RU" w:bidi="ar-SA"/>
        </w:rPr>
      </w:pPr>
      <w:r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Условия расторжения договора</w:t>
      </w:r>
      <w:r w:rsidR="00650378"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:</w:t>
      </w:r>
    </w:p>
    <w:p w:rsidR="00ED42EF" w:rsidRPr="008B262A" w:rsidRDefault="0089534B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</w:t>
      </w:r>
      <w:r w:rsidR="001330F7" w:rsidRPr="008B262A">
        <w:rPr>
          <w:rFonts w:eastAsia="TimesNewRoman" w:cstheme="minorHAnsi"/>
          <w:sz w:val="22"/>
          <w:szCs w:val="22"/>
          <w:lang w:val="ru-RU" w:bidi="ar-SA"/>
        </w:rPr>
        <w:t>договор может быть расторгнут:</w:t>
      </w:r>
    </w:p>
    <w:p w:rsidR="00392C3E" w:rsidRPr="008B262A" w:rsidRDefault="00392C3E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- по соглашению сторон;</w:t>
      </w:r>
    </w:p>
    <w:p w:rsidR="00392C3E" w:rsidRPr="008B262A" w:rsidRDefault="00392C3E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- по инициативе Абонента, при условии уведомления Гарантирующего поставщика о расторжении договора не менее чем за 30 дней до даты расторжения;</w:t>
      </w:r>
    </w:p>
    <w:p w:rsidR="001330F7" w:rsidRPr="008B262A" w:rsidRDefault="00392C3E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- по инициативе Гарантирующего поставщика в случаях, предусмотренных действующим</w:t>
      </w:r>
      <w:r w:rsidR="00C2563E" w:rsidRPr="008B262A">
        <w:rPr>
          <w:rFonts w:eastAsia="TimesNewRoman" w:cstheme="minorHAnsi"/>
          <w:sz w:val="22"/>
          <w:szCs w:val="22"/>
          <w:lang w:val="ru-RU" w:bidi="ar-SA"/>
        </w:rPr>
        <w:t xml:space="preserve"> </w:t>
      </w:r>
      <w:r w:rsidRPr="008B262A">
        <w:rPr>
          <w:rFonts w:eastAsia="TimesNewRoman" w:cstheme="minorHAnsi"/>
          <w:sz w:val="22"/>
          <w:szCs w:val="22"/>
          <w:lang w:val="ru-RU" w:bidi="ar-SA"/>
        </w:rPr>
        <w:t>законодательством.</w:t>
      </w:r>
    </w:p>
    <w:p w:rsidR="00392C3E" w:rsidRPr="008B262A" w:rsidRDefault="001330F7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b/>
          <w:i/>
          <w:sz w:val="22"/>
          <w:szCs w:val="22"/>
          <w:lang w:val="ru-RU" w:bidi="ar-SA"/>
        </w:rPr>
      </w:pPr>
      <w:r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Ответственность сторон</w:t>
      </w:r>
      <w:r w:rsidR="00392C3E" w:rsidRPr="008B262A">
        <w:rPr>
          <w:rFonts w:eastAsia="TimesNewRoman" w:cstheme="minorHAnsi"/>
          <w:b/>
          <w:i/>
          <w:sz w:val="22"/>
          <w:szCs w:val="22"/>
          <w:lang w:val="ru-RU" w:bidi="ar-SA"/>
        </w:rPr>
        <w:t>:</w:t>
      </w:r>
    </w:p>
    <w:p w:rsidR="001330F7" w:rsidRPr="008B262A" w:rsidRDefault="00392C3E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 </w:t>
      </w:r>
      <w:r w:rsidR="001330F7" w:rsidRPr="008B262A">
        <w:rPr>
          <w:rFonts w:eastAsia="TimesNewRoman" w:cstheme="minorHAnsi"/>
          <w:sz w:val="22"/>
          <w:szCs w:val="22"/>
          <w:lang w:val="ru-RU" w:bidi="ar-SA"/>
        </w:rPr>
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законодательством.</w:t>
      </w:r>
    </w:p>
    <w:p w:rsidR="001330F7" w:rsidRPr="008B262A" w:rsidRDefault="00392C3E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lastRenderedPageBreak/>
        <w:t xml:space="preserve">   </w:t>
      </w:r>
      <w:r w:rsidR="001330F7" w:rsidRPr="008B262A">
        <w:rPr>
          <w:rFonts w:eastAsia="TimesNewRoman" w:cstheme="minorHAnsi"/>
          <w:sz w:val="22"/>
          <w:szCs w:val="22"/>
          <w:lang w:val="ru-RU" w:bidi="ar-SA"/>
        </w:rPr>
        <w:t>За нарушение сроков оплаты, предусмотренных договором энергоснабжения, Абонент обязуется оплатить Гарантирующему поставщику неустойку</w:t>
      </w:r>
      <w:r w:rsidRPr="008B262A">
        <w:rPr>
          <w:rFonts w:eastAsia="TimesNewRoman" w:cstheme="minorHAnsi"/>
          <w:sz w:val="22"/>
          <w:szCs w:val="22"/>
          <w:lang w:val="ru-RU" w:bidi="ar-SA"/>
        </w:rPr>
        <w:t>.</w:t>
      </w:r>
    </w:p>
    <w:p w:rsidR="00392C3E" w:rsidRPr="008B262A" w:rsidRDefault="00392C3E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  В случае если энергопринимающие устройства Абонента присоединены к </w:t>
      </w:r>
      <w:proofErr w:type="gramStart"/>
      <w:r w:rsidRPr="008B262A">
        <w:rPr>
          <w:rFonts w:eastAsia="TimesNewRoman" w:cstheme="minorHAnsi"/>
          <w:sz w:val="22"/>
          <w:szCs w:val="22"/>
          <w:lang w:val="ru-RU" w:bidi="ar-SA"/>
        </w:rPr>
        <w:t>бесхозяйным</w:t>
      </w:r>
      <w:proofErr w:type="gramEnd"/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объектам электросетевого хозяйства, Гарантирующий поставщик отвечает за надежность и качество электроснабжения в пределах границ балансовой принадлежности и эксплуатационной ответственности определенной Сетевой организации.</w:t>
      </w:r>
    </w:p>
    <w:p w:rsidR="00392C3E" w:rsidRPr="008B262A" w:rsidRDefault="0022022F" w:rsidP="00C2563E">
      <w:pPr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/>
          <w:sz w:val="22"/>
          <w:szCs w:val="22"/>
          <w:lang w:val="ru-RU" w:bidi="ar-SA"/>
        </w:rPr>
      </w:pPr>
      <w:r w:rsidRPr="008B262A">
        <w:rPr>
          <w:rFonts w:ascii="Times New Roman" w:eastAsia="TimesNewRoman" w:hAnsi="Times New Roman"/>
          <w:sz w:val="22"/>
          <w:szCs w:val="22"/>
          <w:lang w:val="ru-RU" w:bidi="ar-SA"/>
        </w:rPr>
        <w:t>Абонент</w:t>
      </w:r>
      <w:r w:rsidR="00392C3E" w:rsidRPr="008B262A">
        <w:rPr>
          <w:rFonts w:ascii="Times New Roman" w:eastAsia="TimesNewRoman" w:hAnsi="Times New Roman"/>
          <w:sz w:val="22"/>
          <w:szCs w:val="22"/>
          <w:lang w:val="ru-RU" w:bidi="ar-SA"/>
        </w:rPr>
        <w:t xml:space="preserve"> несет ответственность за  отсутствие Акта согласования аварийной и технологической брони в случае наличия у Абонента электроустановок, ограничение режима потребления которых ниже уровня аварийной брони не допускается или может привести к возникновению угрозы жизни и здоровью людей, экологической безопасности либо безопасности государства.</w:t>
      </w:r>
    </w:p>
    <w:p w:rsidR="00392C3E" w:rsidRPr="008B262A" w:rsidRDefault="00392C3E" w:rsidP="00C2563E">
      <w:pPr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/>
          <w:sz w:val="22"/>
          <w:szCs w:val="22"/>
          <w:lang w:val="ru-RU" w:bidi="ar-SA"/>
        </w:rPr>
      </w:pPr>
      <w:r w:rsidRPr="008B262A">
        <w:rPr>
          <w:rFonts w:ascii="Times New Roman" w:eastAsia="TimesNewRoman" w:hAnsi="Times New Roman"/>
          <w:sz w:val="22"/>
          <w:szCs w:val="22"/>
          <w:lang w:val="ru-RU" w:bidi="ar-SA"/>
        </w:rPr>
        <w:t xml:space="preserve">   </w:t>
      </w:r>
      <w:r w:rsidR="00A34C9A" w:rsidRPr="008B262A">
        <w:rPr>
          <w:rFonts w:ascii="Times New Roman" w:hAnsi="Times New Roman"/>
          <w:color w:val="000000"/>
          <w:sz w:val="22"/>
          <w:szCs w:val="22"/>
          <w:lang w:val="ru-RU"/>
        </w:rPr>
        <w:t xml:space="preserve">Абонент </w:t>
      </w:r>
      <w:r w:rsidRPr="008B262A">
        <w:rPr>
          <w:rFonts w:ascii="Times New Roman" w:hAnsi="Times New Roman"/>
          <w:color w:val="000000"/>
          <w:sz w:val="22"/>
          <w:szCs w:val="22"/>
          <w:lang w:val="ru-RU"/>
        </w:rPr>
        <w:t xml:space="preserve">несёт ответственность за состояние и обслуживание объектов электросетевого хозяйства, которая определяется балансовой принадлежностью </w:t>
      </w:r>
      <w:r w:rsidR="00A34C9A" w:rsidRPr="008B262A">
        <w:rPr>
          <w:rFonts w:ascii="Times New Roman" w:hAnsi="Times New Roman"/>
          <w:color w:val="000000"/>
          <w:sz w:val="22"/>
          <w:szCs w:val="22"/>
          <w:lang w:val="ru-RU"/>
        </w:rPr>
        <w:t xml:space="preserve">Абонента </w:t>
      </w:r>
      <w:r w:rsidRPr="008B262A">
        <w:rPr>
          <w:rFonts w:ascii="Times New Roman" w:hAnsi="Times New Roman"/>
          <w:color w:val="000000"/>
          <w:sz w:val="22"/>
          <w:szCs w:val="22"/>
          <w:lang w:val="ru-RU"/>
        </w:rPr>
        <w:t>и фиксируется в акте разграничения балансовой принадлежности электросетей и эксплуатационной ответственности.</w:t>
      </w:r>
    </w:p>
    <w:p w:rsidR="00132056" w:rsidRPr="008B262A" w:rsidRDefault="00392C3E" w:rsidP="00132056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  </w:t>
      </w:r>
      <w:r w:rsidR="000B1D31" w:rsidRPr="008B262A">
        <w:rPr>
          <w:rFonts w:eastAsia="TimesNewRoman" w:cstheme="minorHAnsi"/>
          <w:sz w:val="22"/>
          <w:szCs w:val="22"/>
          <w:lang w:val="ru-RU" w:bidi="ar-SA"/>
        </w:rPr>
        <w:t>Гарантирующий поставщик</w:t>
      </w:r>
      <w:r w:rsidR="00132056" w:rsidRPr="008B262A">
        <w:rPr>
          <w:rFonts w:eastAsia="TimesNewRoman" w:cstheme="minorHAnsi"/>
          <w:sz w:val="22"/>
          <w:szCs w:val="22"/>
          <w:lang w:val="ru-RU" w:bidi="ar-SA"/>
        </w:rPr>
        <w:t xml:space="preserve"> несет ответственность за неисполнение или ненадлежащее исполнение обязательств по Договору.</w:t>
      </w:r>
    </w:p>
    <w:p w:rsidR="00392C3E" w:rsidRPr="008B262A" w:rsidRDefault="00132056" w:rsidP="00132056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В случае</w:t>
      </w:r>
      <w:proofErr w:type="gramStart"/>
      <w:r w:rsidRPr="008B262A">
        <w:rPr>
          <w:rFonts w:eastAsia="TimesNewRoman" w:cstheme="minorHAnsi"/>
          <w:sz w:val="22"/>
          <w:szCs w:val="22"/>
          <w:lang w:val="ru-RU" w:bidi="ar-SA"/>
        </w:rPr>
        <w:t>,</w:t>
      </w:r>
      <w:proofErr w:type="gramEnd"/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если энергопринимающие устройства Абонента присоединены к бесхозяйным объектам электросетевого хозяйства, Гарантирующий поставщик отвечает за надежность и качество электроснабжения в пределах границ балансовой принадлежности и эксплуатационной ответственности определенной Сетевой организации.</w:t>
      </w:r>
    </w:p>
    <w:p w:rsidR="00392C3E" w:rsidRPr="008B262A" w:rsidRDefault="00392C3E" w:rsidP="00C256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color w:val="000000"/>
          <w:sz w:val="22"/>
          <w:szCs w:val="22"/>
          <w:lang w:val="ru-RU"/>
        </w:rPr>
      </w:pPr>
      <w:r w:rsidRPr="008B262A">
        <w:rPr>
          <w:rFonts w:ascii="Times New Roman" w:hAnsi="Times New Roman"/>
          <w:b/>
          <w:i/>
          <w:color w:val="000000"/>
          <w:sz w:val="22"/>
          <w:szCs w:val="22"/>
          <w:lang w:val="ru-RU"/>
        </w:rPr>
        <w:t>Ин</w:t>
      </w:r>
      <w:r w:rsidR="00603BCB" w:rsidRPr="008B262A">
        <w:rPr>
          <w:rFonts w:ascii="Times New Roman" w:hAnsi="Times New Roman"/>
          <w:b/>
          <w:i/>
          <w:color w:val="000000"/>
          <w:sz w:val="22"/>
          <w:szCs w:val="22"/>
          <w:lang w:val="ru-RU"/>
        </w:rPr>
        <w:t>ая информация, являющаяся существенной для потребителей:</w:t>
      </w:r>
    </w:p>
    <w:p w:rsidR="00F802AA" w:rsidRPr="008B262A" w:rsidRDefault="00603BCB">
      <w:pPr>
        <w:autoSpaceDE w:val="0"/>
        <w:autoSpaceDN w:val="0"/>
        <w:adjustRightInd w:val="0"/>
        <w:ind w:firstLine="851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В случае отсутствия Акта разграничения граница ответственности определяется документами, подтверждающими право владения соответствующими энергопринимающими устройствами.</w:t>
      </w:r>
    </w:p>
    <w:p w:rsidR="00603BCB" w:rsidRPr="008B262A" w:rsidRDefault="00603BCB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  </w:t>
      </w:r>
      <w:proofErr w:type="gramStart"/>
      <w:r w:rsidRPr="008B262A">
        <w:rPr>
          <w:rFonts w:eastAsia="TimesNewRoman" w:cstheme="minorHAnsi"/>
          <w:sz w:val="22"/>
          <w:szCs w:val="22"/>
          <w:lang w:val="ru-RU" w:bidi="ar-SA"/>
        </w:rPr>
        <w:t>При наличии у Абонента электроустановок, ограничение режима потребления которых</w:t>
      </w:r>
      <w:r w:rsidR="00C2563E" w:rsidRPr="008B262A">
        <w:rPr>
          <w:rFonts w:eastAsia="TimesNewRoman" w:cstheme="minorHAnsi"/>
          <w:sz w:val="22"/>
          <w:szCs w:val="22"/>
          <w:lang w:val="ru-RU" w:bidi="ar-SA"/>
        </w:rPr>
        <w:t xml:space="preserve"> </w:t>
      </w:r>
      <w:r w:rsidRPr="008B262A">
        <w:rPr>
          <w:rFonts w:eastAsia="TimesNewRoman" w:cstheme="minorHAnsi"/>
          <w:sz w:val="22"/>
          <w:szCs w:val="22"/>
          <w:lang w:val="ru-RU" w:bidi="ar-SA"/>
        </w:rPr>
        <w:t>ниже уровня аварийной брони не допускается или может привести к возникновению угрозы жизни и здоровью людей, экологической безопасности либо безопасности государства, составить и направить Сетевой организации (Гарантирующему поставщику) Акт согласования аварийной и технологической брони в течение 3 рабочих дней с даты заключения договора энергоснабжения.</w:t>
      </w:r>
      <w:proofErr w:type="gramEnd"/>
    </w:p>
    <w:p w:rsidR="00603BCB" w:rsidRPr="008B262A" w:rsidRDefault="00603BCB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   В случае если от сетей Абонента подключены электроустановки других Потребителей,</w:t>
      </w:r>
      <w:r w:rsidR="00C2563E" w:rsidRPr="008B262A">
        <w:rPr>
          <w:rFonts w:eastAsia="TimesNewRoman" w:cstheme="minorHAnsi"/>
          <w:sz w:val="22"/>
          <w:szCs w:val="22"/>
          <w:lang w:val="ru-RU" w:bidi="ar-SA"/>
        </w:rPr>
        <w:t xml:space="preserve"> </w:t>
      </w:r>
      <w:r w:rsidRPr="008B262A">
        <w:rPr>
          <w:rFonts w:eastAsia="TimesNewRoman" w:cstheme="minorHAnsi"/>
          <w:sz w:val="22"/>
          <w:szCs w:val="22"/>
          <w:lang w:val="ru-RU" w:bidi="ar-SA"/>
        </w:rPr>
        <w:t xml:space="preserve">выполнять следующие действия: </w:t>
      </w:r>
    </w:p>
    <w:p w:rsidR="00603BCB" w:rsidRPr="008B262A" w:rsidRDefault="00603BCB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-  согласовывать Потребителям отчеты по электропотреблению;</w:t>
      </w:r>
    </w:p>
    <w:p w:rsidR="00603BCB" w:rsidRPr="008B262A" w:rsidRDefault="00603BCB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- производить приемку и опломбировку измерительных комплексов Потребителей;</w:t>
      </w:r>
    </w:p>
    <w:p w:rsidR="00603BCB" w:rsidRPr="008B262A" w:rsidRDefault="00603BCB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- согласовывать инструкции по оперативным взаимоотношениям с Потребителями;</w:t>
      </w:r>
    </w:p>
    <w:p w:rsidR="00603BCB" w:rsidRPr="008B262A" w:rsidRDefault="00603BCB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  <w:r w:rsidRPr="008B262A">
        <w:rPr>
          <w:rFonts w:eastAsia="TimesNewRoman" w:cstheme="minorHAnsi"/>
          <w:sz w:val="22"/>
          <w:szCs w:val="22"/>
          <w:lang w:val="ru-RU" w:bidi="ar-SA"/>
        </w:rPr>
        <w:t>- производить ограничение режима потребления Потребителей в соответствии с нормативными актами РФ.</w:t>
      </w:r>
    </w:p>
    <w:p w:rsidR="00603BCB" w:rsidRPr="008B262A" w:rsidRDefault="00603BCB" w:rsidP="00C2563E">
      <w:pPr>
        <w:autoSpaceDE w:val="0"/>
        <w:autoSpaceDN w:val="0"/>
        <w:adjustRightInd w:val="0"/>
        <w:ind w:firstLine="709"/>
        <w:jc w:val="both"/>
        <w:rPr>
          <w:rFonts w:eastAsia="TimesNewRoman" w:cstheme="minorHAnsi"/>
          <w:sz w:val="22"/>
          <w:szCs w:val="22"/>
          <w:lang w:val="ru-RU" w:bidi="ar-SA"/>
        </w:rPr>
      </w:pPr>
    </w:p>
    <w:sectPr w:rsidR="00603BCB" w:rsidRPr="008B262A" w:rsidSect="008B262A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2DBA"/>
    <w:rsid w:val="000005FF"/>
    <w:rsid w:val="000224DE"/>
    <w:rsid w:val="0004564C"/>
    <w:rsid w:val="000470B8"/>
    <w:rsid w:val="0006506E"/>
    <w:rsid w:val="0006613E"/>
    <w:rsid w:val="00084C3B"/>
    <w:rsid w:val="00092DBA"/>
    <w:rsid w:val="000A0478"/>
    <w:rsid w:val="000A114A"/>
    <w:rsid w:val="000B1265"/>
    <w:rsid w:val="000B1D31"/>
    <w:rsid w:val="000C55DD"/>
    <w:rsid w:val="000E6760"/>
    <w:rsid w:val="000F6046"/>
    <w:rsid w:val="001304E4"/>
    <w:rsid w:val="00132056"/>
    <w:rsid w:val="001330F7"/>
    <w:rsid w:val="001335DA"/>
    <w:rsid w:val="00152264"/>
    <w:rsid w:val="00163024"/>
    <w:rsid w:val="00197F4D"/>
    <w:rsid w:val="001A5FA4"/>
    <w:rsid w:val="001B28EF"/>
    <w:rsid w:val="001E1A59"/>
    <w:rsid w:val="002171C1"/>
    <w:rsid w:val="0022022F"/>
    <w:rsid w:val="00246173"/>
    <w:rsid w:val="002541B2"/>
    <w:rsid w:val="00277F74"/>
    <w:rsid w:val="00290922"/>
    <w:rsid w:val="0029620D"/>
    <w:rsid w:val="00296869"/>
    <w:rsid w:val="002E1751"/>
    <w:rsid w:val="002E3C53"/>
    <w:rsid w:val="002F7300"/>
    <w:rsid w:val="003034DB"/>
    <w:rsid w:val="00312B36"/>
    <w:rsid w:val="00312F5F"/>
    <w:rsid w:val="003233D8"/>
    <w:rsid w:val="00337679"/>
    <w:rsid w:val="003776CD"/>
    <w:rsid w:val="003840EB"/>
    <w:rsid w:val="00392C3E"/>
    <w:rsid w:val="00393E96"/>
    <w:rsid w:val="0039512B"/>
    <w:rsid w:val="003A11F7"/>
    <w:rsid w:val="003A522E"/>
    <w:rsid w:val="003C138A"/>
    <w:rsid w:val="003E07D7"/>
    <w:rsid w:val="003E0D9E"/>
    <w:rsid w:val="003E7431"/>
    <w:rsid w:val="003F5495"/>
    <w:rsid w:val="0040337F"/>
    <w:rsid w:val="00431F83"/>
    <w:rsid w:val="0043617F"/>
    <w:rsid w:val="004410C6"/>
    <w:rsid w:val="00465522"/>
    <w:rsid w:val="00465A55"/>
    <w:rsid w:val="004828D6"/>
    <w:rsid w:val="00483794"/>
    <w:rsid w:val="004A0ABC"/>
    <w:rsid w:val="004A3FFB"/>
    <w:rsid w:val="004F7492"/>
    <w:rsid w:val="00517599"/>
    <w:rsid w:val="005476F5"/>
    <w:rsid w:val="00567AE4"/>
    <w:rsid w:val="00587ECB"/>
    <w:rsid w:val="00590255"/>
    <w:rsid w:val="0059182D"/>
    <w:rsid w:val="005A09AA"/>
    <w:rsid w:val="005C3A0C"/>
    <w:rsid w:val="005C726A"/>
    <w:rsid w:val="00603BCB"/>
    <w:rsid w:val="00613531"/>
    <w:rsid w:val="00617659"/>
    <w:rsid w:val="00617FF9"/>
    <w:rsid w:val="00623A20"/>
    <w:rsid w:val="00631331"/>
    <w:rsid w:val="00642914"/>
    <w:rsid w:val="00650378"/>
    <w:rsid w:val="006559D5"/>
    <w:rsid w:val="006750B3"/>
    <w:rsid w:val="0069536F"/>
    <w:rsid w:val="006B3969"/>
    <w:rsid w:val="006C0E37"/>
    <w:rsid w:val="006C5018"/>
    <w:rsid w:val="006E17D2"/>
    <w:rsid w:val="006E38C6"/>
    <w:rsid w:val="00700B71"/>
    <w:rsid w:val="00700F57"/>
    <w:rsid w:val="00721595"/>
    <w:rsid w:val="007464A4"/>
    <w:rsid w:val="0076517F"/>
    <w:rsid w:val="007A0750"/>
    <w:rsid w:val="007C4F98"/>
    <w:rsid w:val="007D2A46"/>
    <w:rsid w:val="007D4ABF"/>
    <w:rsid w:val="0081478D"/>
    <w:rsid w:val="00830A2C"/>
    <w:rsid w:val="008515E4"/>
    <w:rsid w:val="008515E5"/>
    <w:rsid w:val="0085206A"/>
    <w:rsid w:val="00872C6F"/>
    <w:rsid w:val="008774C0"/>
    <w:rsid w:val="0089534B"/>
    <w:rsid w:val="008B03E9"/>
    <w:rsid w:val="008B262A"/>
    <w:rsid w:val="008C338F"/>
    <w:rsid w:val="008D3EBA"/>
    <w:rsid w:val="008D5A36"/>
    <w:rsid w:val="008E5DA9"/>
    <w:rsid w:val="008F3F6A"/>
    <w:rsid w:val="008F7271"/>
    <w:rsid w:val="0092123C"/>
    <w:rsid w:val="00923FE6"/>
    <w:rsid w:val="0092443E"/>
    <w:rsid w:val="009314C3"/>
    <w:rsid w:val="00935D01"/>
    <w:rsid w:val="0093674F"/>
    <w:rsid w:val="00942356"/>
    <w:rsid w:val="00961410"/>
    <w:rsid w:val="00977339"/>
    <w:rsid w:val="00983CBD"/>
    <w:rsid w:val="009A4773"/>
    <w:rsid w:val="009D6ED7"/>
    <w:rsid w:val="009F3535"/>
    <w:rsid w:val="00A04ED9"/>
    <w:rsid w:val="00A20239"/>
    <w:rsid w:val="00A34C9A"/>
    <w:rsid w:val="00A47704"/>
    <w:rsid w:val="00A546F7"/>
    <w:rsid w:val="00A63821"/>
    <w:rsid w:val="00A84AF6"/>
    <w:rsid w:val="00A8770B"/>
    <w:rsid w:val="00A93123"/>
    <w:rsid w:val="00A93E65"/>
    <w:rsid w:val="00AB7BC9"/>
    <w:rsid w:val="00AC659C"/>
    <w:rsid w:val="00AD506C"/>
    <w:rsid w:val="00AD5C53"/>
    <w:rsid w:val="00AE0A3C"/>
    <w:rsid w:val="00AF30BB"/>
    <w:rsid w:val="00B004AC"/>
    <w:rsid w:val="00B0144C"/>
    <w:rsid w:val="00B42CF9"/>
    <w:rsid w:val="00B77B2F"/>
    <w:rsid w:val="00B816C3"/>
    <w:rsid w:val="00B91CD8"/>
    <w:rsid w:val="00B97311"/>
    <w:rsid w:val="00BA019C"/>
    <w:rsid w:val="00BA1442"/>
    <w:rsid w:val="00BC7B57"/>
    <w:rsid w:val="00BE29EF"/>
    <w:rsid w:val="00BE324A"/>
    <w:rsid w:val="00BF043E"/>
    <w:rsid w:val="00C019F0"/>
    <w:rsid w:val="00C01E17"/>
    <w:rsid w:val="00C072E9"/>
    <w:rsid w:val="00C172B3"/>
    <w:rsid w:val="00C2563E"/>
    <w:rsid w:val="00C369DD"/>
    <w:rsid w:val="00CA47DF"/>
    <w:rsid w:val="00CC2243"/>
    <w:rsid w:val="00CD6D42"/>
    <w:rsid w:val="00CE4F41"/>
    <w:rsid w:val="00D06D3E"/>
    <w:rsid w:val="00D124FB"/>
    <w:rsid w:val="00D1292E"/>
    <w:rsid w:val="00D569AE"/>
    <w:rsid w:val="00D61A74"/>
    <w:rsid w:val="00D742FF"/>
    <w:rsid w:val="00D750A9"/>
    <w:rsid w:val="00D760E0"/>
    <w:rsid w:val="00D93BA4"/>
    <w:rsid w:val="00DA6045"/>
    <w:rsid w:val="00DD131C"/>
    <w:rsid w:val="00DE073D"/>
    <w:rsid w:val="00E05F20"/>
    <w:rsid w:val="00E11251"/>
    <w:rsid w:val="00E271DA"/>
    <w:rsid w:val="00E40D20"/>
    <w:rsid w:val="00E42E9C"/>
    <w:rsid w:val="00E46F7E"/>
    <w:rsid w:val="00E56C97"/>
    <w:rsid w:val="00E64E17"/>
    <w:rsid w:val="00E66ABA"/>
    <w:rsid w:val="00E87073"/>
    <w:rsid w:val="00E90E9C"/>
    <w:rsid w:val="00E95EB3"/>
    <w:rsid w:val="00EB3360"/>
    <w:rsid w:val="00EC12B3"/>
    <w:rsid w:val="00ED42EF"/>
    <w:rsid w:val="00EF303F"/>
    <w:rsid w:val="00F00E9C"/>
    <w:rsid w:val="00F03B15"/>
    <w:rsid w:val="00F151E5"/>
    <w:rsid w:val="00F326AC"/>
    <w:rsid w:val="00F42D41"/>
    <w:rsid w:val="00F75711"/>
    <w:rsid w:val="00F802AA"/>
    <w:rsid w:val="00FE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paragraph" w:styleId="af3">
    <w:name w:val="Normal (Web)"/>
    <w:basedOn w:val="a"/>
    <w:uiPriority w:val="99"/>
    <w:unhideWhenUsed/>
    <w:rsid w:val="008D3EB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unhideWhenUsed/>
    <w:rsid w:val="008D3EB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F73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2F730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0B1D3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1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45855;fld=134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71;n=82459;fld=134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71;n=40859;fld=134;dst=100005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071;n=41099;fld=134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RLAW071;n=31263;fld=134;dst=100005" TargetMode="External"/><Relationship Id="rId9" Type="http://schemas.openxmlformats.org/officeDocument/2006/relationships/hyperlink" Target="consultantplus://offline/main?base=RLAW071;n=47897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EENS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2011-06-15T09:54:00Z</dcterms:created>
  <dcterms:modified xsi:type="dcterms:W3CDTF">2011-06-15T09:54:00Z</dcterms:modified>
</cp:coreProperties>
</file>