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49" w:rsidRPr="004F2549" w:rsidRDefault="004F2549" w:rsidP="004F2549">
      <w:pPr>
        <w:rPr>
          <w:b/>
        </w:rPr>
      </w:pPr>
      <w:r w:rsidRPr="004F2549">
        <w:rPr>
          <w:b/>
        </w:rPr>
        <w:t>П.п. Б п. 20 Постановление Правительства РФ №24 от 21.01.2004г.</w:t>
      </w:r>
    </w:p>
    <w:p w:rsidR="00E423F9" w:rsidRDefault="00E423F9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</w:rPr>
      </w:pPr>
    </w:p>
    <w:p w:rsidR="00C00C86" w:rsidRP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</w:rPr>
      </w:pPr>
      <w:r w:rsidRPr="00C00C86">
        <w:rPr>
          <w:rFonts w:eastAsia="TimesNewRoman"/>
          <w:b/>
        </w:rPr>
        <w:t>Предмет договора энергоснабжения:</w:t>
      </w:r>
    </w:p>
    <w:p w:rsidR="00C00C86" w:rsidRP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proofErr w:type="gramStart"/>
      <w:r w:rsidRPr="00C00C86">
        <w:rPr>
          <w:rFonts w:eastAsia="TimesNewRoman"/>
        </w:rPr>
        <w:t>Гарантирующий поставщик обязуется осуществлять продажу электрической энергии (мощности), а также самостоятельно или через привлеченных третьих лиц оказывать услуги по передаче электрической энергии и услуги, оказание которых является неотъемлемой частью процесса поставки электрической энергии Абоненту, а Абонент обязуется оплачивать приобретаемую электрическую энергию (мощность) и оказанные услуги в объеме и на условиях настоящего Договора.</w:t>
      </w:r>
      <w:proofErr w:type="gramEnd"/>
    </w:p>
    <w:p w:rsid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</w:rPr>
      </w:pPr>
    </w:p>
    <w:p w:rsidR="00C00C86" w:rsidRP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</w:rPr>
      </w:pPr>
      <w:r w:rsidRPr="00C00C86">
        <w:rPr>
          <w:rFonts w:eastAsia="TimesNewRoman"/>
          <w:b/>
        </w:rPr>
        <w:t>Предмет договора купли-продажи электроэнергии:</w:t>
      </w:r>
    </w:p>
    <w:p w:rsidR="00C00C86" w:rsidRP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00C86">
        <w:rPr>
          <w:rFonts w:eastAsia="TimesNewRoman"/>
        </w:rPr>
        <w:t xml:space="preserve"> Гарантирующий поставщик обязуется осуществлять продажу электрической энергии, а Абонент обязуется принимать и оплачивать приобретаемую электрическую энергию на условиях настоящего Договора, а также самостоятельно урегулировать отношения по передаче электрической энергии и отношения по оперативно-диспетчерскому управлению.</w:t>
      </w:r>
    </w:p>
    <w:p w:rsid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</w:rPr>
      </w:pPr>
    </w:p>
    <w:p w:rsidR="00C00C86" w:rsidRP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</w:rPr>
      </w:pPr>
      <w:r w:rsidRPr="00C00C86">
        <w:rPr>
          <w:rFonts w:eastAsia="TimesNewRoman"/>
          <w:b/>
        </w:rPr>
        <w:t>Срок действия договора энергоснабжения (купли-продажи):</w:t>
      </w:r>
    </w:p>
    <w:p w:rsidR="00C00C86" w:rsidRP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00C86">
        <w:rPr>
          <w:rFonts w:eastAsia="TimesNewRoman"/>
        </w:rPr>
        <w:t>Срок действия договора -  с момента его подписания, но не ранее даты и времени начала оказания услуг по передаче электрической энергии.</w:t>
      </w:r>
    </w:p>
    <w:p w:rsidR="006022A3" w:rsidRDefault="00C00C86" w:rsidP="006022A3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00C86">
        <w:rPr>
          <w:rFonts w:eastAsia="TimesNewRoman"/>
        </w:rPr>
        <w:t>Договор действует до 24 часов 31 декабря 201</w:t>
      </w:r>
      <w:r w:rsidR="009613B2">
        <w:rPr>
          <w:rFonts w:eastAsia="TimesNewRoman"/>
        </w:rPr>
        <w:t>4</w:t>
      </w:r>
      <w:r w:rsidRPr="00C00C86">
        <w:rPr>
          <w:rFonts w:eastAsia="TimesNewRoman"/>
        </w:rPr>
        <w:t>г. и считается продленным на каждый последующий календарный год на тех же условиях, если за 30 дней до окончания срока его действия одна из Сторон не заявит о его прекращении или изменении, либо о заключении нового Договора.</w:t>
      </w:r>
    </w:p>
    <w:p w:rsid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</w:rPr>
      </w:pPr>
    </w:p>
    <w:p w:rsidR="00C00C86" w:rsidRP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</w:rPr>
      </w:pPr>
      <w:r w:rsidRPr="00C00C86">
        <w:rPr>
          <w:rFonts w:eastAsia="TimesNewRoman"/>
          <w:b/>
        </w:rPr>
        <w:t>Вид цены на электрическую энергию (фиксированная или переменная):</w:t>
      </w:r>
    </w:p>
    <w:p w:rsidR="00C00C86" w:rsidRP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proofErr w:type="gramStart"/>
      <w:r w:rsidRPr="00C00C86">
        <w:rPr>
          <w:rFonts w:eastAsia="TimesNewRoman"/>
        </w:rPr>
        <w:t>Продажа электрической энергии (мощности) (за исключением объема электрической энергии (мощности), поставляемой населению и приравненным к нему категориям потребителей) осуществляется по нерегулируемым ценам (ставкам нерегулируемых цен) не выше предельных уровней нерегулируемых цен (ставок предельных уровней нерегулируемых цен), определяемых и применяемых в соответствии с разделом V</w:t>
      </w:r>
      <w:r w:rsidR="00375976">
        <w:rPr>
          <w:rFonts w:eastAsia="TimesNewRoman"/>
        </w:rPr>
        <w:t xml:space="preserve"> «Основных положений функционирования розничных рынков электрической энергии», утверждённых</w:t>
      </w:r>
      <w:r w:rsidRPr="00C00C86">
        <w:rPr>
          <w:rFonts w:eastAsia="TimesNewRoman"/>
        </w:rPr>
        <w:t xml:space="preserve"> Постановлени</w:t>
      </w:r>
      <w:r w:rsidR="00375976">
        <w:rPr>
          <w:rFonts w:eastAsia="TimesNewRoman"/>
        </w:rPr>
        <w:t>ем</w:t>
      </w:r>
      <w:r w:rsidRPr="00C00C86">
        <w:rPr>
          <w:rFonts w:eastAsia="TimesNewRoman"/>
        </w:rPr>
        <w:t xml:space="preserve"> Правительства РФ от 04.05.2012г. № 442 «О</w:t>
      </w:r>
      <w:proofErr w:type="gramEnd"/>
      <w:r w:rsidRPr="00C00C86">
        <w:rPr>
          <w:rFonts w:eastAsia="TimesNewRoman"/>
        </w:rPr>
        <w:t xml:space="preserve"> </w:t>
      </w:r>
      <w:proofErr w:type="gramStart"/>
      <w:r w:rsidRPr="00C00C86">
        <w:rPr>
          <w:rFonts w:eastAsia="TimesNewRoman"/>
        </w:rPr>
        <w:t>функционировании</w:t>
      </w:r>
      <w:proofErr w:type="gramEnd"/>
      <w:r w:rsidRPr="00C00C86">
        <w:rPr>
          <w:rFonts w:eastAsia="TimesNewRoman"/>
        </w:rPr>
        <w:t xml:space="preserve"> розничных рынков электрической энергии, полном и (или) частичном ограничении режима потребления электрической энергии».  </w:t>
      </w:r>
    </w:p>
    <w:p w:rsidR="00C00C86" w:rsidRP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00C86">
        <w:rPr>
          <w:rFonts w:eastAsia="TimesNewRoman"/>
        </w:rPr>
        <w:t>Продажа электрической энергии (мощности) гражданам-потребителям и приравненным к ним в соответствии с нормативными правовыми актами в области государственного регулирования тарифов группам (категориям) потребителей (покупателей) в объеме всего фактического потребления осуществляется по регулируемым ценам (тарифам).</w:t>
      </w:r>
    </w:p>
    <w:p w:rsidR="001038B7" w:rsidRDefault="001038B7" w:rsidP="001038B7">
      <w:pPr>
        <w:autoSpaceDE w:val="0"/>
        <w:autoSpaceDN w:val="0"/>
        <w:adjustRightInd w:val="0"/>
        <w:ind w:firstLine="567"/>
        <w:jc w:val="both"/>
        <w:outlineLvl w:val="1"/>
        <w:rPr>
          <w:rFonts w:eastAsia="TimesNewRoman"/>
          <w:b/>
        </w:rPr>
      </w:pPr>
    </w:p>
    <w:p w:rsidR="001038B7" w:rsidRPr="001038B7" w:rsidRDefault="001038B7" w:rsidP="001038B7">
      <w:pPr>
        <w:autoSpaceDE w:val="0"/>
        <w:autoSpaceDN w:val="0"/>
        <w:adjustRightInd w:val="0"/>
        <w:ind w:firstLine="567"/>
        <w:jc w:val="both"/>
        <w:outlineLvl w:val="1"/>
        <w:rPr>
          <w:rFonts w:eastAsia="TimesNewRoman"/>
          <w:b/>
        </w:rPr>
      </w:pPr>
      <w:r w:rsidRPr="001038B7">
        <w:rPr>
          <w:rFonts w:eastAsia="TimesNewRoman"/>
          <w:b/>
        </w:rPr>
        <w:t>Форма оплаты:</w:t>
      </w:r>
    </w:p>
    <w:p w:rsidR="001038B7" w:rsidRPr="001038B7" w:rsidRDefault="001038B7" w:rsidP="001038B7">
      <w:pPr>
        <w:autoSpaceDE w:val="0"/>
        <w:autoSpaceDN w:val="0"/>
        <w:adjustRightInd w:val="0"/>
        <w:ind w:firstLine="567"/>
        <w:jc w:val="both"/>
        <w:outlineLvl w:val="1"/>
        <w:rPr>
          <w:rFonts w:eastAsia="TimesNewRoman"/>
        </w:rPr>
      </w:pPr>
      <w:r w:rsidRPr="001038B7">
        <w:rPr>
          <w:rFonts w:eastAsia="TimesNewRoman"/>
        </w:rPr>
        <w:t xml:space="preserve">Оплата за электроэнергию может производиться наличными денежными средствами через кассы гарантирующего поставщика, в пунктах приема платежей; в форме безналичных расчетов через банк, </w:t>
      </w:r>
      <w:r w:rsidRPr="001038B7">
        <w:t xml:space="preserve"> </w:t>
      </w:r>
      <w:r w:rsidRPr="001038B7">
        <w:rPr>
          <w:rFonts w:eastAsia="TimesNewRoman"/>
        </w:rPr>
        <w:t xml:space="preserve">через сеть Интернет, с помощью банковской карты. </w:t>
      </w:r>
    </w:p>
    <w:p w:rsidR="001038B7" w:rsidRDefault="001038B7" w:rsidP="001038B7">
      <w:pPr>
        <w:pStyle w:val="af4"/>
        <w:ind w:firstLine="567"/>
        <w:jc w:val="both"/>
        <w:rPr>
          <w:rFonts w:ascii="Times New Roman" w:eastAsia="TimesNewRoman" w:hAnsi="Times New Roman" w:cs="Times New Roman"/>
        </w:rPr>
      </w:pPr>
      <w:r w:rsidRPr="001038B7">
        <w:rPr>
          <w:rFonts w:ascii="Times New Roman" w:eastAsia="TimesNewRoman" w:hAnsi="Times New Roman" w:cs="Times New Roman"/>
        </w:rPr>
        <w:t>Порядок оплаты электроэнергии в 201</w:t>
      </w:r>
      <w:r w:rsidR="009613B2">
        <w:rPr>
          <w:rFonts w:ascii="Times New Roman" w:eastAsia="TimesNewRoman" w:hAnsi="Times New Roman" w:cs="Times New Roman"/>
        </w:rPr>
        <w:t>4</w:t>
      </w:r>
      <w:r w:rsidRPr="001038B7">
        <w:rPr>
          <w:rFonts w:ascii="Times New Roman" w:eastAsia="TimesNewRoman" w:hAnsi="Times New Roman" w:cs="Times New Roman"/>
        </w:rPr>
        <w:t xml:space="preserve"> году  установлен главой </w:t>
      </w:r>
      <w:r w:rsidRPr="001038B7">
        <w:rPr>
          <w:rFonts w:ascii="Times New Roman" w:eastAsia="TimesNewRoman" w:hAnsi="Times New Roman" w:cs="Times New Roman"/>
          <w:lang w:val="en-US"/>
        </w:rPr>
        <w:t>IV</w:t>
      </w:r>
      <w:r w:rsidRPr="001038B7">
        <w:rPr>
          <w:rFonts w:ascii="Times New Roman" w:eastAsia="TimesNewRoman" w:hAnsi="Times New Roman" w:cs="Times New Roman"/>
        </w:rPr>
        <w:t xml:space="preserve"> </w:t>
      </w:r>
      <w:r w:rsidR="00BB18FD" w:rsidRPr="00BB18FD">
        <w:rPr>
          <w:rFonts w:ascii="Times New Roman" w:eastAsia="TimesNewRoman" w:hAnsi="Times New Roman" w:cs="Times New Roman"/>
        </w:rPr>
        <w:t xml:space="preserve">«Основных положений функционирования розничных рынков электрической энергии», утверждённых Постановлением Правительства РФ от 04.05.2012г. № 442 «О функционировании розничных рынков электрической энергии, полном и (или) частичном ограничении режима потребления электрической энергии».  </w:t>
      </w:r>
    </w:p>
    <w:p w:rsidR="00BB18FD" w:rsidRPr="00BB18FD" w:rsidRDefault="00BB18FD" w:rsidP="00BB18FD"/>
    <w:p w:rsidR="001038B7" w:rsidRPr="001038B7" w:rsidRDefault="001038B7" w:rsidP="001038B7">
      <w:pPr>
        <w:pStyle w:val="af4"/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1038B7">
        <w:rPr>
          <w:rFonts w:ascii="Times New Roman" w:hAnsi="Times New Roman" w:cs="Times New Roman"/>
          <w:b/>
          <w:bCs/>
          <w:iCs/>
        </w:rPr>
        <w:t>Форма обеспечения исполнения обязательств по договору:</w:t>
      </w:r>
    </w:p>
    <w:p w:rsidR="001038B7" w:rsidRPr="001038B7" w:rsidRDefault="001038B7" w:rsidP="001038B7">
      <w:pPr>
        <w:autoSpaceDE w:val="0"/>
        <w:autoSpaceDN w:val="0"/>
        <w:ind w:firstLine="567"/>
        <w:jc w:val="both"/>
      </w:pPr>
      <w:r w:rsidRPr="001038B7">
        <w:t xml:space="preserve">Неустойка. </w:t>
      </w:r>
    </w:p>
    <w:p w:rsidR="001038B7" w:rsidRPr="001038B7" w:rsidRDefault="001038B7" w:rsidP="001038B7">
      <w:pPr>
        <w:autoSpaceDE w:val="0"/>
        <w:autoSpaceDN w:val="0"/>
        <w:ind w:firstLine="567"/>
        <w:jc w:val="both"/>
        <w:rPr>
          <w:b/>
          <w:bCs/>
          <w:iCs/>
        </w:rPr>
      </w:pPr>
      <w:r w:rsidRPr="001038B7">
        <w:rPr>
          <w:b/>
          <w:bCs/>
          <w:iCs/>
        </w:rPr>
        <w:t>Зона обслуживания:</w:t>
      </w:r>
    </w:p>
    <w:p w:rsidR="001038B7" w:rsidRPr="001038B7" w:rsidRDefault="005F1C54" w:rsidP="001038B7">
      <w:pPr>
        <w:autoSpaceDE w:val="0"/>
        <w:autoSpaceDN w:val="0"/>
        <w:ind w:firstLine="567"/>
        <w:jc w:val="both"/>
      </w:pPr>
      <w:proofErr w:type="gramStart"/>
      <w:r>
        <w:t>Г</w:t>
      </w:r>
      <w:r w:rsidRPr="005F1C54">
        <w:t xml:space="preserve">раницы части территории муниципального образования "город Екатеринбург" в границах балансовой принадлежности электрических сетей открытого акционерного общества "Екатеринбургская электросетевая компания" (с учетом ПС 110/10/10 </w:t>
      </w:r>
      <w:proofErr w:type="spellStart"/>
      <w:r w:rsidRPr="005F1C54">
        <w:t>кВ</w:t>
      </w:r>
      <w:proofErr w:type="spellEnd"/>
      <w:r w:rsidRPr="005F1C54">
        <w:t xml:space="preserve"> "Спортивная" (город Екатеринбург, улица Машинная, 31 а), ПС 110/10 </w:t>
      </w:r>
      <w:proofErr w:type="spellStart"/>
      <w:r w:rsidRPr="005F1C54">
        <w:t>кВ</w:t>
      </w:r>
      <w:proofErr w:type="spellEnd"/>
      <w:r w:rsidRPr="005F1C54">
        <w:t xml:space="preserve"> "Авиатор" (город Екатеринбург, автодорога Екатеринбург-Кольцово, 16 км, д. 22), ПС 110/10 </w:t>
      </w:r>
      <w:proofErr w:type="spellStart"/>
      <w:r w:rsidRPr="005F1C54">
        <w:t>кВ</w:t>
      </w:r>
      <w:proofErr w:type="spellEnd"/>
      <w:r w:rsidRPr="005F1C54">
        <w:t xml:space="preserve"> "</w:t>
      </w:r>
      <w:proofErr w:type="spellStart"/>
      <w:r w:rsidRPr="005F1C54">
        <w:t>Петрищевская</w:t>
      </w:r>
      <w:proofErr w:type="spellEnd"/>
      <w:r w:rsidRPr="005F1C54">
        <w:t xml:space="preserve">" (город Екатеринбург, ул. Академика </w:t>
      </w:r>
      <w:proofErr w:type="spellStart"/>
      <w:r w:rsidRPr="005F1C54">
        <w:t>Вонсовского</w:t>
      </w:r>
      <w:proofErr w:type="spellEnd"/>
      <w:r w:rsidRPr="005F1C54">
        <w:t>, д. 85 а), ПС</w:t>
      </w:r>
      <w:proofErr w:type="gramEnd"/>
      <w:r w:rsidRPr="005F1C54">
        <w:t xml:space="preserve"> </w:t>
      </w:r>
      <w:proofErr w:type="gramStart"/>
      <w:r w:rsidRPr="005F1C54">
        <w:t xml:space="preserve">220/110 </w:t>
      </w:r>
      <w:proofErr w:type="spellStart"/>
      <w:r w:rsidRPr="005F1C54">
        <w:t>кВ</w:t>
      </w:r>
      <w:proofErr w:type="spellEnd"/>
      <w:r w:rsidRPr="005F1C54">
        <w:t xml:space="preserve"> "Рябина" (город Екатеринбург, ул. Суходольская, д. 231), смежных сетевых организаций и иных владельцев электросетевого хозяйства, получающих электрическую энергию из сетей открытого акционерного общества "Екатеринбургская электросетевая компания" или отпускающих электрическую энергию в сети открытого акционерного общества "Екатеринбургская электросетевая компания" от производителей электрической энергии (за исключением сетей открытого акционерного общества "МРСК Урала" на территории Свердловской области, сетей государственного унитарного</w:t>
      </w:r>
      <w:proofErr w:type="gramEnd"/>
      <w:r w:rsidRPr="005F1C54">
        <w:t xml:space="preserve"> предприятия Свердловской области "</w:t>
      </w:r>
      <w:proofErr w:type="spellStart"/>
      <w:r w:rsidRPr="005F1C54">
        <w:t>Облкоммунэнерго</w:t>
      </w:r>
      <w:proofErr w:type="spellEnd"/>
      <w:r w:rsidRPr="005F1C54">
        <w:t xml:space="preserve">", объектов электросетевого хозяйства потребителей, получающих электрическую энергию от ПС "Искра" по </w:t>
      </w:r>
      <w:proofErr w:type="gramStart"/>
      <w:r w:rsidRPr="005F1C54">
        <w:t>ВЛ</w:t>
      </w:r>
      <w:proofErr w:type="gramEnd"/>
      <w:r w:rsidRPr="005F1C54">
        <w:t xml:space="preserve"> 110 </w:t>
      </w:r>
      <w:proofErr w:type="spellStart"/>
      <w:r w:rsidRPr="005F1C54">
        <w:t>кВ</w:t>
      </w:r>
      <w:proofErr w:type="spellEnd"/>
      <w:r w:rsidRPr="005F1C54">
        <w:t xml:space="preserve"> Искра - Депо-1 (город Екатеринбург), от ПС "Искра" по ВЛ 110 </w:t>
      </w:r>
      <w:proofErr w:type="spellStart"/>
      <w:r w:rsidRPr="005F1C54">
        <w:t>кВ</w:t>
      </w:r>
      <w:proofErr w:type="spellEnd"/>
      <w:r w:rsidRPr="005F1C54">
        <w:t xml:space="preserve"> Искра - Депо-2 (город Екатеринбург) и сетей, определяющих зону деятельности другого гарантирующего поставщика, кроме открытого акционерного общества "Свердловэнергосбыт")</w:t>
      </w:r>
      <w:r>
        <w:t xml:space="preserve"> </w:t>
      </w:r>
      <w:r w:rsidR="001038B7" w:rsidRPr="001038B7">
        <w:t xml:space="preserve">(Постановление РЭК Свердловской области № 130-ПК от 17.10.2006 «О гарантирующих поставщиках электрической энергии на территории Свердловской области» (в ред. Постановлений РЭК Свердловской области от 22.11.2006 </w:t>
      </w:r>
      <w:hyperlink r:id="rId6" w:history="1">
        <w:r w:rsidR="001038B7" w:rsidRPr="001038B7">
          <w:rPr>
            <w:rStyle w:val="af3"/>
          </w:rPr>
          <w:t>№ 166-ПК</w:t>
        </w:r>
      </w:hyperlink>
      <w:r w:rsidR="001038B7" w:rsidRPr="001038B7">
        <w:t xml:space="preserve">, от 06.02.2008 </w:t>
      </w:r>
      <w:hyperlink r:id="rId7" w:history="1">
        <w:r w:rsidR="001038B7" w:rsidRPr="001038B7">
          <w:rPr>
            <w:rStyle w:val="af3"/>
          </w:rPr>
          <w:t>№ 21-</w:t>
        </w:r>
      </w:hyperlink>
      <w:r w:rsidR="001038B7" w:rsidRPr="001038B7">
        <w:t xml:space="preserve">ПК, от 21.03.2008 </w:t>
      </w:r>
      <w:hyperlink r:id="rId8" w:history="1">
        <w:r w:rsidR="001038B7" w:rsidRPr="001038B7">
          <w:rPr>
            <w:rStyle w:val="af3"/>
          </w:rPr>
          <w:t>№ 38-</w:t>
        </w:r>
      </w:hyperlink>
      <w:r w:rsidR="001038B7" w:rsidRPr="001038B7">
        <w:t xml:space="preserve">ПК, от 21.05.2008 </w:t>
      </w:r>
      <w:hyperlink r:id="rId9" w:history="1">
        <w:r w:rsidR="001038B7" w:rsidRPr="001038B7">
          <w:rPr>
            <w:rStyle w:val="af3"/>
          </w:rPr>
          <w:t>№ 68-</w:t>
        </w:r>
      </w:hyperlink>
      <w:r w:rsidR="001038B7" w:rsidRPr="001038B7">
        <w:t xml:space="preserve">ПК, от 30.09.2008 </w:t>
      </w:r>
      <w:hyperlink r:id="rId10" w:history="1">
        <w:r w:rsidR="001038B7" w:rsidRPr="001038B7">
          <w:rPr>
            <w:rStyle w:val="af3"/>
          </w:rPr>
          <w:t>№ 111-</w:t>
        </w:r>
      </w:hyperlink>
      <w:r w:rsidR="001038B7" w:rsidRPr="001038B7">
        <w:t xml:space="preserve">ПК, от 04.12.2008 </w:t>
      </w:r>
      <w:hyperlink r:id="rId11" w:history="1">
        <w:r w:rsidR="001038B7" w:rsidRPr="001038B7">
          <w:rPr>
            <w:rStyle w:val="af3"/>
          </w:rPr>
          <w:t>№ 153-</w:t>
        </w:r>
      </w:hyperlink>
      <w:r w:rsidR="001038B7" w:rsidRPr="001038B7">
        <w:t>ПК, от 27.07.2011 №113-ПК, от 21.09.2011 №141-ПК, от 31.10.2012г. № 185-ПК</w:t>
      </w:r>
      <w:r>
        <w:t xml:space="preserve">, 24.12.2013 №157-ПК, </w:t>
      </w:r>
      <w:proofErr w:type="gramStart"/>
      <w:r>
        <w:t>от</w:t>
      </w:r>
      <w:proofErr w:type="gramEnd"/>
      <w:r>
        <w:t xml:space="preserve"> 12.03.2014                № 20-ПК</w:t>
      </w:r>
      <w:r w:rsidR="001038B7" w:rsidRPr="001038B7">
        <w:t>).</w:t>
      </w:r>
    </w:p>
    <w:p w:rsidR="001038B7" w:rsidRDefault="001038B7" w:rsidP="001038B7">
      <w:pPr>
        <w:autoSpaceDE w:val="0"/>
        <w:autoSpaceDN w:val="0"/>
        <w:ind w:firstLine="567"/>
        <w:jc w:val="both"/>
        <w:rPr>
          <w:b/>
          <w:bCs/>
          <w:iCs/>
        </w:rPr>
      </w:pPr>
    </w:p>
    <w:p w:rsidR="001038B7" w:rsidRPr="001038B7" w:rsidRDefault="001038B7" w:rsidP="001038B7">
      <w:pPr>
        <w:autoSpaceDE w:val="0"/>
        <w:autoSpaceDN w:val="0"/>
        <w:ind w:firstLine="567"/>
        <w:jc w:val="both"/>
        <w:rPr>
          <w:b/>
          <w:bCs/>
          <w:iCs/>
        </w:rPr>
      </w:pPr>
      <w:r w:rsidRPr="001038B7">
        <w:rPr>
          <w:b/>
          <w:bCs/>
          <w:iCs/>
        </w:rPr>
        <w:t>Условия расторжения договора:</w:t>
      </w:r>
    </w:p>
    <w:p w:rsidR="001038B7" w:rsidRPr="001038B7" w:rsidRDefault="001038B7" w:rsidP="001038B7">
      <w:pPr>
        <w:autoSpaceDE w:val="0"/>
        <w:autoSpaceDN w:val="0"/>
        <w:ind w:firstLine="567"/>
        <w:jc w:val="both"/>
      </w:pPr>
      <w:r w:rsidRPr="001038B7">
        <w:t> </w:t>
      </w:r>
      <w:r w:rsidR="00C34D44">
        <w:t>Д</w:t>
      </w:r>
      <w:r w:rsidRPr="001038B7">
        <w:t>оговор может быть расторгнут:</w:t>
      </w:r>
    </w:p>
    <w:p w:rsidR="001038B7" w:rsidRPr="001038B7" w:rsidRDefault="001038B7" w:rsidP="001038B7">
      <w:pPr>
        <w:autoSpaceDE w:val="0"/>
        <w:autoSpaceDN w:val="0"/>
        <w:ind w:firstLine="567"/>
        <w:jc w:val="both"/>
      </w:pPr>
      <w:r w:rsidRPr="001038B7">
        <w:t>- по соглашению сторон;</w:t>
      </w:r>
    </w:p>
    <w:p w:rsidR="001038B7" w:rsidRPr="001038B7" w:rsidRDefault="001038B7" w:rsidP="001038B7">
      <w:pPr>
        <w:autoSpaceDE w:val="0"/>
        <w:autoSpaceDN w:val="0"/>
        <w:ind w:firstLine="567"/>
        <w:jc w:val="both"/>
      </w:pPr>
      <w:r w:rsidRPr="001038B7">
        <w:t>- по инициативе Абонента, при условии уведомления Гарантирующего поставщика о расторжении договора не менее чем за 20 дней до даты расторжения;</w:t>
      </w:r>
    </w:p>
    <w:p w:rsidR="00C00C86" w:rsidRPr="001038B7" w:rsidRDefault="005E40E2" w:rsidP="001038B7">
      <w:pPr>
        <w:autoSpaceDE w:val="0"/>
        <w:autoSpaceDN w:val="0"/>
        <w:ind w:firstLine="567"/>
        <w:jc w:val="both"/>
        <w:rPr>
          <w:b/>
          <w:bCs/>
          <w:iCs/>
        </w:rPr>
      </w:pPr>
      <w:r>
        <w:t xml:space="preserve">- </w:t>
      </w:r>
      <w:r w:rsidR="001038B7" w:rsidRPr="001038B7">
        <w:t xml:space="preserve">по инициативе Гарантирующего поставщика в одностороннем порядке, при условии уведомления Абонента за 10 рабочих дней, в случае </w:t>
      </w:r>
      <w:proofErr w:type="gramStart"/>
      <w:r w:rsidR="001038B7" w:rsidRPr="001038B7">
        <w:t>не исполнения</w:t>
      </w:r>
      <w:proofErr w:type="gramEnd"/>
      <w:r w:rsidR="001038B7" w:rsidRPr="001038B7">
        <w:t xml:space="preserve"> или ненадлежащего исполнения обязательств по оплате.</w:t>
      </w:r>
    </w:p>
    <w:p w:rsidR="001038B7" w:rsidRDefault="001038B7" w:rsidP="00C00C86">
      <w:pPr>
        <w:autoSpaceDE w:val="0"/>
        <w:autoSpaceDN w:val="0"/>
        <w:ind w:firstLine="567"/>
        <w:jc w:val="both"/>
        <w:rPr>
          <w:b/>
          <w:bCs/>
          <w:iCs/>
        </w:rPr>
      </w:pPr>
    </w:p>
    <w:p w:rsidR="00C00C86" w:rsidRPr="00C00C86" w:rsidRDefault="00C00C86" w:rsidP="00C00C86">
      <w:pPr>
        <w:autoSpaceDE w:val="0"/>
        <w:autoSpaceDN w:val="0"/>
        <w:ind w:firstLine="567"/>
        <w:jc w:val="both"/>
        <w:rPr>
          <w:b/>
          <w:bCs/>
          <w:iCs/>
        </w:rPr>
      </w:pPr>
      <w:r w:rsidRPr="00C00C86">
        <w:rPr>
          <w:b/>
          <w:bCs/>
          <w:iCs/>
        </w:rPr>
        <w:t>Ответственность сторон:</w:t>
      </w:r>
    </w:p>
    <w:p w:rsidR="00E658D0" w:rsidRDefault="00C00C86" w:rsidP="00C00C86">
      <w:pPr>
        <w:autoSpaceDE w:val="0"/>
        <w:autoSpaceDN w:val="0"/>
        <w:ind w:firstLine="567"/>
        <w:jc w:val="both"/>
      </w:pPr>
      <w:r w:rsidRPr="00C00C86">
        <w:t>Стороны несут ответственность за неисполнение или ненадлежащее исполнение обязательств по договору энергоснабжения в соответствии с действующим законодательством</w:t>
      </w:r>
    </w:p>
    <w:p w:rsidR="00E658D0" w:rsidRPr="00E658D0" w:rsidRDefault="00C00C86" w:rsidP="00E658D0">
      <w:pPr>
        <w:autoSpaceDE w:val="0"/>
        <w:autoSpaceDN w:val="0"/>
        <w:ind w:firstLine="567"/>
        <w:jc w:val="both"/>
        <w:rPr>
          <w:b/>
          <w:color w:val="FF0000"/>
        </w:rPr>
      </w:pPr>
      <w:r w:rsidRPr="00C00C86">
        <w:t xml:space="preserve">В случае если </w:t>
      </w:r>
      <w:proofErr w:type="spellStart"/>
      <w:r w:rsidRPr="00C00C86">
        <w:t>энергопринимающие</w:t>
      </w:r>
      <w:proofErr w:type="spellEnd"/>
      <w:r w:rsidRPr="00C00C86">
        <w:t xml:space="preserve"> устройства Абонента присоединены к бесхозяйным объектам электросетевого хозяйства, Гарантирующий поставщик отвечает за надежность и качество электроснабжения в пределах границ балансовой принадлежности и эксплуатационной ответственности определенной Сетевой организации.</w:t>
      </w:r>
      <w:r w:rsidRPr="00C00C86">
        <w:rPr>
          <w:b/>
          <w:color w:val="FF0000"/>
        </w:rPr>
        <w:t xml:space="preserve"> </w:t>
      </w:r>
    </w:p>
    <w:p w:rsidR="00E658D0" w:rsidRDefault="00C00C86" w:rsidP="00C00C86">
      <w:pPr>
        <w:autoSpaceDE w:val="0"/>
        <w:autoSpaceDN w:val="0"/>
        <w:ind w:firstLine="567"/>
        <w:jc w:val="both"/>
        <w:rPr>
          <w:b/>
          <w:color w:val="FF0000"/>
        </w:rPr>
      </w:pPr>
      <w:r w:rsidRPr="00C00C86">
        <w:t>Абонент несет ответственность за  отсутствие Акта согласования аварийной и технологической брони в случае наличия у Абонента электроустановок, ограничение режима потребления которых ниже уровня аварийной брони не допускается или может привести к возникновению угрозы жизни и здоровью людей, экологической безопасности либо безопасности государства.</w:t>
      </w:r>
      <w:r w:rsidRPr="00C00C86">
        <w:rPr>
          <w:b/>
          <w:color w:val="FF0000"/>
        </w:rPr>
        <w:t xml:space="preserve"> </w:t>
      </w:r>
    </w:p>
    <w:p w:rsidR="00E658D0" w:rsidRDefault="00C00C86" w:rsidP="001C6676">
      <w:pPr>
        <w:autoSpaceDE w:val="0"/>
        <w:autoSpaceDN w:val="0"/>
        <w:ind w:firstLine="567"/>
        <w:jc w:val="both"/>
        <w:rPr>
          <w:b/>
          <w:color w:val="FF0000"/>
        </w:rPr>
      </w:pPr>
      <w:r w:rsidRPr="00C00C86">
        <w:rPr>
          <w:color w:val="000000"/>
        </w:rPr>
        <w:lastRenderedPageBreak/>
        <w:t xml:space="preserve">Абонент несёт ответственность за состояние и обслуживание объектов электросетевого хозяйства, которая определяется балансовой принадлежностью Абонента и фиксируется в </w:t>
      </w:r>
      <w:r w:rsidR="003A2F22">
        <w:rPr>
          <w:color w:val="000000"/>
        </w:rPr>
        <w:t>А</w:t>
      </w:r>
      <w:r w:rsidRPr="00C00C86">
        <w:rPr>
          <w:color w:val="000000"/>
        </w:rPr>
        <w:t>кте разграничения балансовой принадлежности электросетей</w:t>
      </w:r>
      <w:r w:rsidR="003A2F22">
        <w:rPr>
          <w:color w:val="000000"/>
        </w:rPr>
        <w:t>.</w:t>
      </w:r>
      <w:r w:rsidRPr="00C00C86">
        <w:rPr>
          <w:b/>
          <w:color w:val="FF0000"/>
        </w:rPr>
        <w:t xml:space="preserve"> </w:t>
      </w:r>
    </w:p>
    <w:p w:rsidR="00E658D0" w:rsidRPr="00C00C86" w:rsidRDefault="00E658D0" w:rsidP="00C00C86">
      <w:pPr>
        <w:autoSpaceDE w:val="0"/>
        <w:autoSpaceDN w:val="0"/>
        <w:ind w:firstLine="567"/>
        <w:jc w:val="both"/>
        <w:rPr>
          <w:b/>
          <w:bCs/>
          <w:iCs/>
          <w:color w:val="7030A0"/>
        </w:rPr>
      </w:pPr>
    </w:p>
    <w:p w:rsidR="00C74A8E" w:rsidRDefault="00C74A8E" w:rsidP="00C00C86">
      <w:pPr>
        <w:autoSpaceDE w:val="0"/>
        <w:autoSpaceDN w:val="0"/>
        <w:ind w:firstLine="567"/>
        <w:jc w:val="both"/>
        <w:rPr>
          <w:b/>
          <w:bCs/>
          <w:iCs/>
          <w:color w:val="000000"/>
        </w:rPr>
      </w:pPr>
    </w:p>
    <w:p w:rsidR="00C00C86" w:rsidRPr="00C00C86" w:rsidRDefault="00C00C86" w:rsidP="00C00C86">
      <w:pPr>
        <w:autoSpaceDE w:val="0"/>
        <w:autoSpaceDN w:val="0"/>
        <w:ind w:firstLine="567"/>
        <w:jc w:val="both"/>
        <w:rPr>
          <w:b/>
          <w:bCs/>
          <w:iCs/>
          <w:color w:val="000000"/>
        </w:rPr>
      </w:pPr>
      <w:bookmarkStart w:id="0" w:name="_GoBack"/>
      <w:bookmarkEnd w:id="0"/>
      <w:r w:rsidRPr="00C00C86">
        <w:rPr>
          <w:b/>
          <w:bCs/>
          <w:iCs/>
          <w:color w:val="000000"/>
        </w:rPr>
        <w:t>Иная информация, являющаяся существенной для потребителей:</w:t>
      </w:r>
    </w:p>
    <w:p w:rsidR="00F0423E" w:rsidRDefault="00C00C86" w:rsidP="00C00C86">
      <w:pPr>
        <w:autoSpaceDE w:val="0"/>
        <w:autoSpaceDN w:val="0"/>
        <w:ind w:firstLine="567"/>
        <w:jc w:val="both"/>
        <w:rPr>
          <w:b/>
        </w:rPr>
      </w:pPr>
      <w:r w:rsidRPr="00C00C86">
        <w:t xml:space="preserve">В случае отсутствия Акта разграничения </w:t>
      </w:r>
      <w:r w:rsidR="00AB30BF">
        <w:t xml:space="preserve">балансовой принадлежности </w:t>
      </w:r>
      <w:r w:rsidRPr="00C00C86">
        <w:t xml:space="preserve">граница ответственности определяется документами, подтверждающими право владения соответствующими </w:t>
      </w:r>
      <w:proofErr w:type="spellStart"/>
      <w:r w:rsidRPr="00C00C86">
        <w:t>энергопринимающими</w:t>
      </w:r>
      <w:proofErr w:type="spellEnd"/>
      <w:r w:rsidRPr="00C00C86">
        <w:t xml:space="preserve"> устройствами.</w:t>
      </w:r>
      <w:r w:rsidRPr="00C00C86">
        <w:rPr>
          <w:b/>
        </w:rPr>
        <w:t xml:space="preserve"> </w:t>
      </w:r>
    </w:p>
    <w:p w:rsidR="00D34E06" w:rsidRDefault="00C00C86" w:rsidP="00C00C86">
      <w:pPr>
        <w:autoSpaceDE w:val="0"/>
        <w:autoSpaceDN w:val="0"/>
        <w:ind w:firstLine="567"/>
        <w:jc w:val="both"/>
      </w:pPr>
      <w:r w:rsidRPr="00C00C86">
        <w:t>Обязанность потребителя, ограничение режима потребления электрической энергии (мощности) которого может привести к экономическим, экологическим, социальным после</w:t>
      </w:r>
      <w:r w:rsidR="00E316D5">
        <w:t>дствиям, при отсутствии у него А</w:t>
      </w:r>
      <w:r w:rsidRPr="00C00C86">
        <w:t xml:space="preserve">кта согласования технологической и (или)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</w:t>
      </w:r>
      <w:proofErr w:type="gramStart"/>
      <w:r w:rsidRPr="00C00C86">
        <w:t>изменения</w:t>
      </w:r>
      <w:proofErr w:type="gramEnd"/>
      <w:r w:rsidRPr="00C00C86">
        <w:t xml:space="preserve"> ранее составленного акта в порядке, определенном Правилами недискриминационного доступа к услугам по передаче электрической энергии и оказания этих услуг, составить (изменить) и согласовать с сетевой организацией </w:t>
      </w:r>
      <w:r w:rsidR="00D34E06">
        <w:t>А</w:t>
      </w:r>
      <w:r w:rsidRPr="00C00C86">
        <w:t>кт согласования технологической и (или) аварийной брони</w:t>
      </w:r>
      <w:r w:rsidR="00D34E06">
        <w:t>.</w:t>
      </w:r>
    </w:p>
    <w:p w:rsidR="00C00C86" w:rsidRPr="00C00C86" w:rsidRDefault="00C00C86" w:rsidP="00C00C86">
      <w:pPr>
        <w:autoSpaceDE w:val="0"/>
        <w:autoSpaceDN w:val="0"/>
        <w:ind w:firstLine="567"/>
        <w:jc w:val="both"/>
      </w:pPr>
      <w:r w:rsidRPr="00C00C86">
        <w:t xml:space="preserve">В случае если от сетей Абонента подключены электроустановки других Потребителей, выполнять следующие действия: </w:t>
      </w:r>
    </w:p>
    <w:p w:rsidR="00C00C86" w:rsidRPr="00C00C86" w:rsidRDefault="00C00C86" w:rsidP="00C00C86">
      <w:pPr>
        <w:autoSpaceDE w:val="0"/>
        <w:autoSpaceDN w:val="0"/>
        <w:ind w:firstLine="567"/>
        <w:jc w:val="both"/>
      </w:pPr>
      <w:r w:rsidRPr="00C00C86">
        <w:t>-  согласовывать Потребителям отчеты по электропотреблению;</w:t>
      </w:r>
    </w:p>
    <w:p w:rsidR="00C00C86" w:rsidRPr="00C00C86" w:rsidRDefault="00C00C86" w:rsidP="00C00C86">
      <w:pPr>
        <w:autoSpaceDE w:val="0"/>
        <w:autoSpaceDN w:val="0"/>
        <w:ind w:firstLine="567"/>
        <w:jc w:val="both"/>
      </w:pPr>
      <w:r w:rsidRPr="00C00C86">
        <w:t>- производить приемку и опломбировку измерительных комплексов Потребителей;</w:t>
      </w:r>
    </w:p>
    <w:p w:rsidR="00C00C86" w:rsidRPr="00C00C86" w:rsidRDefault="00C00C86" w:rsidP="00C00C86">
      <w:pPr>
        <w:autoSpaceDE w:val="0"/>
        <w:autoSpaceDN w:val="0"/>
        <w:ind w:firstLine="567"/>
        <w:jc w:val="both"/>
      </w:pPr>
      <w:r w:rsidRPr="00C00C86">
        <w:t>- согласовывать инструкции по оперативным взаимоотношениям с Потребителями;</w:t>
      </w:r>
    </w:p>
    <w:p w:rsidR="00C00C86" w:rsidRPr="00C00C86" w:rsidRDefault="00C00C86" w:rsidP="00C00C86">
      <w:pPr>
        <w:autoSpaceDE w:val="0"/>
        <w:autoSpaceDN w:val="0"/>
        <w:ind w:firstLine="567"/>
        <w:jc w:val="both"/>
      </w:pPr>
      <w:r w:rsidRPr="00C00C86">
        <w:t>- производить ограничение режима потребления Потребителей в соответствии с нормативными актами РФ.</w:t>
      </w:r>
    </w:p>
    <w:p w:rsidR="00C00C86" w:rsidRPr="00C00C86" w:rsidRDefault="00C00C86" w:rsidP="00C00C86">
      <w:pPr>
        <w:autoSpaceDE w:val="0"/>
        <w:autoSpaceDN w:val="0"/>
        <w:ind w:firstLine="567"/>
        <w:jc w:val="both"/>
      </w:pPr>
      <w:r w:rsidRPr="00C00C86">
        <w:t xml:space="preserve">- не препятствовать </w:t>
      </w:r>
      <w:proofErr w:type="spellStart"/>
      <w:r w:rsidRPr="00C00C86">
        <w:t>перетоку</w:t>
      </w:r>
      <w:proofErr w:type="spellEnd"/>
      <w:r w:rsidRPr="00C00C86">
        <w:t xml:space="preserve"> э/энергии таким потребителям</w:t>
      </w:r>
      <w:r w:rsidR="00E316D5">
        <w:t>.</w:t>
      </w:r>
    </w:p>
    <w:p w:rsidR="00C00C86" w:rsidRPr="00C00C86" w:rsidRDefault="00C00C86" w:rsidP="00C00C86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proofErr w:type="gramStart"/>
      <w:r w:rsidRPr="00C00C86">
        <w:rPr>
          <w:rFonts w:eastAsiaTheme="minorHAnsi"/>
          <w:lang w:eastAsia="en-US"/>
        </w:rPr>
        <w:t xml:space="preserve">Потребители, максимальная мощность </w:t>
      </w:r>
      <w:proofErr w:type="spellStart"/>
      <w:r w:rsidRPr="00C00C86">
        <w:rPr>
          <w:rFonts w:eastAsiaTheme="minorHAnsi"/>
          <w:lang w:eastAsia="en-US"/>
        </w:rPr>
        <w:t>энергопринимающих</w:t>
      </w:r>
      <w:proofErr w:type="spellEnd"/>
      <w:r w:rsidRPr="00C00C86">
        <w:rPr>
          <w:rFonts w:eastAsiaTheme="minorHAnsi"/>
          <w:lang w:eastAsia="en-US"/>
        </w:rPr>
        <w:t xml:space="preserve"> устройств которых в границах балансовой принадлежности менее 670 кВт (покупатели в отношении таких потребителей), осуществляют выбор ц</w:t>
      </w:r>
      <w:r w:rsidR="005E6065">
        <w:rPr>
          <w:rFonts w:eastAsiaTheme="minorHAnsi"/>
          <w:lang w:eastAsia="en-US"/>
        </w:rPr>
        <w:t xml:space="preserve">еновой категории самостоятельно, </w:t>
      </w:r>
      <w:r w:rsidRPr="00C00C86">
        <w:rPr>
          <w:rFonts w:eastAsiaTheme="minorHAnsi"/>
          <w:lang w:eastAsia="en-US"/>
        </w:rPr>
        <w:t>посредством уведомления гарантирующего поставщика в течение 1 месяца с даты принятия решения об установлении тарифов на услуги по передаче электрической энергии в соответствующем субъекте Российской Федерации</w:t>
      </w:r>
      <w:r w:rsidR="005E6065">
        <w:rPr>
          <w:rFonts w:eastAsiaTheme="minorHAnsi"/>
          <w:lang w:eastAsia="en-US"/>
        </w:rPr>
        <w:t xml:space="preserve"> </w:t>
      </w:r>
      <w:r w:rsidR="005E6065" w:rsidRPr="005E6065">
        <w:rPr>
          <w:rFonts w:eastAsiaTheme="minorHAnsi"/>
          <w:lang w:eastAsia="en-US"/>
        </w:rPr>
        <w:t>(при этом выбранная ценовая категория применяется для расчетов за электрическую энергию</w:t>
      </w:r>
      <w:proofErr w:type="gramEnd"/>
      <w:r w:rsidR="005E6065" w:rsidRPr="005E6065">
        <w:rPr>
          <w:rFonts w:eastAsiaTheme="minorHAnsi"/>
          <w:lang w:eastAsia="en-US"/>
        </w:rPr>
        <w:t xml:space="preserve"> (</w:t>
      </w:r>
      <w:proofErr w:type="gramStart"/>
      <w:r w:rsidR="005E6065" w:rsidRPr="005E6065">
        <w:rPr>
          <w:rFonts w:eastAsiaTheme="minorHAnsi"/>
          <w:lang w:eastAsia="en-US"/>
        </w:rPr>
        <w:t>мощность) с даты введения в действие указанных тарифов на услуги по передаче электрической энергии)</w:t>
      </w:r>
      <w:r w:rsidRPr="00C00C86">
        <w:rPr>
          <w:rFonts w:eastAsiaTheme="minorHAnsi"/>
          <w:lang w:eastAsia="en-US"/>
        </w:rPr>
        <w:t xml:space="preserve"> и имеют право выбрать с 1</w:t>
      </w:r>
      <w:r w:rsidR="005E6065">
        <w:rPr>
          <w:rFonts w:eastAsiaTheme="minorHAnsi"/>
          <w:lang w:eastAsia="en-US"/>
        </w:rPr>
        <w:t xml:space="preserve"> по 6</w:t>
      </w:r>
      <w:r w:rsidRPr="00C00C86">
        <w:rPr>
          <w:rFonts w:eastAsiaTheme="minorHAnsi"/>
          <w:lang w:eastAsia="en-US"/>
        </w:rPr>
        <w:t xml:space="preserve"> ЦК.</w:t>
      </w:r>
      <w:proofErr w:type="gramEnd"/>
    </w:p>
    <w:p w:rsidR="001038B7" w:rsidRDefault="00C00C86" w:rsidP="00C00C86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proofErr w:type="gramStart"/>
      <w:r w:rsidRPr="00C00C86">
        <w:rPr>
          <w:rFonts w:eastAsiaTheme="minorHAnsi"/>
          <w:lang w:eastAsia="en-US"/>
        </w:rPr>
        <w:t>Потребители с максимальной мощностью не менее 670 кВт осуществляют выбор ценовой категор</w:t>
      </w:r>
      <w:r w:rsidR="005E6065">
        <w:rPr>
          <w:rFonts w:eastAsiaTheme="minorHAnsi"/>
          <w:lang w:eastAsia="en-US"/>
        </w:rPr>
        <w:t>ии самостоятельно,</w:t>
      </w:r>
      <w:r w:rsidRPr="00C00C86">
        <w:rPr>
          <w:rFonts w:eastAsiaTheme="minorHAnsi"/>
          <w:lang w:eastAsia="en-US"/>
        </w:rPr>
        <w:t xml:space="preserve"> посредством уведомления гарантирующего поставщика в течение 1 месяца с даты принятия решения об установлении тарифов на услуги по передаче электрической энергии в соответствующем субъекте Российской Федерации (при этом выбранная ценовая категория применяется для расчетов за электрическую энергию (мощность) с даты введения в действие указанных тарифов на услуги</w:t>
      </w:r>
      <w:proofErr w:type="gramEnd"/>
      <w:r w:rsidRPr="00C00C86">
        <w:rPr>
          <w:rFonts w:eastAsiaTheme="minorHAnsi"/>
          <w:lang w:eastAsia="en-US"/>
        </w:rPr>
        <w:t xml:space="preserve"> по передаче электрической энергии) и имеют право выбрать с </w:t>
      </w:r>
      <w:r w:rsidR="005E6065">
        <w:rPr>
          <w:rFonts w:eastAsiaTheme="minorHAnsi"/>
          <w:lang w:eastAsia="en-US"/>
        </w:rPr>
        <w:t>3</w:t>
      </w:r>
      <w:r w:rsidRPr="00C00C86">
        <w:rPr>
          <w:rFonts w:eastAsiaTheme="minorHAnsi"/>
          <w:lang w:eastAsia="en-US"/>
        </w:rPr>
        <w:t xml:space="preserve"> по 6 ЦК.</w:t>
      </w:r>
    </w:p>
    <w:p w:rsidR="001038B7" w:rsidRPr="001038B7" w:rsidRDefault="001038B7" w:rsidP="001038B7">
      <w:pPr>
        <w:autoSpaceDE w:val="0"/>
        <w:autoSpaceDN w:val="0"/>
        <w:adjustRightInd w:val="0"/>
        <w:ind w:firstLine="720"/>
        <w:jc w:val="both"/>
        <w:rPr>
          <w:rFonts w:asciiTheme="minorHAnsi" w:eastAsiaTheme="minorHAnsi" w:hAnsiTheme="minorHAnsi" w:cstheme="minorHAnsi"/>
          <w:lang w:eastAsia="en-US"/>
        </w:rPr>
      </w:pPr>
      <w:r w:rsidRPr="001038B7">
        <w:rPr>
          <w:rFonts w:asciiTheme="minorHAnsi" w:eastAsiaTheme="minorHAnsi" w:hAnsiTheme="minorHAnsi" w:cstheme="minorHAnsi"/>
          <w:lang w:eastAsia="en-US"/>
        </w:rPr>
        <w:t xml:space="preserve">В течение года </w:t>
      </w:r>
      <w:r w:rsidR="005E6065">
        <w:rPr>
          <w:rFonts w:asciiTheme="minorHAnsi" w:eastAsiaTheme="minorHAnsi" w:hAnsiTheme="minorHAnsi" w:cstheme="minorHAnsi"/>
          <w:lang w:eastAsia="en-US"/>
        </w:rPr>
        <w:t>из</w:t>
      </w:r>
      <w:r w:rsidRPr="001038B7">
        <w:rPr>
          <w:rFonts w:asciiTheme="minorHAnsi" w:eastAsiaTheme="minorHAnsi" w:hAnsiTheme="minorHAnsi" w:cstheme="minorHAnsi"/>
          <w:lang w:eastAsia="en-US"/>
        </w:rPr>
        <w:t xml:space="preserve">менение ценовой категории осуществляется путем направления уведомления гарантирующему поставщику за 10 рабочих дней до начала расчетного периода, с которого предполагается изменить ценовую категорию. </w:t>
      </w:r>
      <w:proofErr w:type="gramStart"/>
      <w:r w:rsidRPr="001038B7">
        <w:rPr>
          <w:rFonts w:asciiTheme="minorHAnsi" w:eastAsiaTheme="minorHAnsi" w:hAnsiTheme="minorHAnsi" w:cstheme="minorHAnsi"/>
          <w:lang w:eastAsia="en-US"/>
        </w:rPr>
        <w:t xml:space="preserve">При этом изменение уже выбранного на текущий период регулирования (расчетный период регулирования в пределах долгосрочного периода регулирования в соответствии с </w:t>
      </w:r>
      <w:hyperlink r:id="rId12" w:history="1">
        <w:r w:rsidRPr="001038B7">
          <w:rPr>
            <w:rFonts w:asciiTheme="minorHAnsi" w:eastAsiaTheme="minorHAnsi" w:hAnsiTheme="minorHAnsi" w:cstheme="minorHAnsi"/>
            <w:lang w:eastAsia="en-US"/>
          </w:rPr>
          <w:t>Основами ценообразования</w:t>
        </w:r>
      </w:hyperlink>
      <w:r w:rsidRPr="001038B7">
        <w:rPr>
          <w:rFonts w:asciiTheme="minorHAnsi" w:eastAsiaTheme="minorHAnsi" w:hAnsiTheme="minorHAnsi" w:cstheme="minorHAnsi"/>
          <w:lang w:eastAsia="en-US"/>
        </w:rPr>
        <w:t xml:space="preserve"> в области регулируемых цен (тарифов) в электроэнергетике) варианта расчета за услуги по передаче электрической энергии не допускается, если иное не предусмотрено </w:t>
      </w:r>
      <w:r w:rsidR="001C6676">
        <w:rPr>
          <w:rFonts w:asciiTheme="minorHAnsi" w:eastAsiaTheme="minorHAnsi" w:hAnsiTheme="minorHAnsi" w:cstheme="minorHAnsi"/>
          <w:lang w:eastAsia="en-US"/>
        </w:rPr>
        <w:t>Постановлением Правительства РФ от 04.05.2012г. № 442</w:t>
      </w:r>
      <w:r w:rsidRPr="001038B7">
        <w:rPr>
          <w:rFonts w:asciiTheme="minorHAnsi" w:eastAsiaTheme="minorHAnsi" w:hAnsiTheme="minorHAnsi" w:cstheme="minorHAnsi"/>
          <w:lang w:eastAsia="en-US"/>
        </w:rPr>
        <w:t>, а также указанными Основами ценообразования.</w:t>
      </w:r>
      <w:proofErr w:type="gramEnd"/>
    </w:p>
    <w:sectPr w:rsidR="001038B7" w:rsidRPr="001038B7" w:rsidSect="00E423F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7B"/>
    <w:rsid w:val="000005FF"/>
    <w:rsid w:val="00034D09"/>
    <w:rsid w:val="00097D2F"/>
    <w:rsid w:val="000B0E14"/>
    <w:rsid w:val="000C403F"/>
    <w:rsid w:val="000C6A52"/>
    <w:rsid w:val="000D369F"/>
    <w:rsid w:val="001038B7"/>
    <w:rsid w:val="00121618"/>
    <w:rsid w:val="00152264"/>
    <w:rsid w:val="001C6676"/>
    <w:rsid w:val="001E56BF"/>
    <w:rsid w:val="001F199B"/>
    <w:rsid w:val="0021102E"/>
    <w:rsid w:val="00251ED5"/>
    <w:rsid w:val="002900EB"/>
    <w:rsid w:val="002E1751"/>
    <w:rsid w:val="002F6DA7"/>
    <w:rsid w:val="003034DB"/>
    <w:rsid w:val="00312B36"/>
    <w:rsid w:val="00325D72"/>
    <w:rsid w:val="00334159"/>
    <w:rsid w:val="00350689"/>
    <w:rsid w:val="00375976"/>
    <w:rsid w:val="003776CD"/>
    <w:rsid w:val="003A2F22"/>
    <w:rsid w:val="003A522E"/>
    <w:rsid w:val="00415CB5"/>
    <w:rsid w:val="00430934"/>
    <w:rsid w:val="00431F83"/>
    <w:rsid w:val="004828D6"/>
    <w:rsid w:val="004A3FFB"/>
    <w:rsid w:val="004D7CA1"/>
    <w:rsid w:val="004F2549"/>
    <w:rsid w:val="004F53F8"/>
    <w:rsid w:val="004F7492"/>
    <w:rsid w:val="00507DA7"/>
    <w:rsid w:val="00543D19"/>
    <w:rsid w:val="00577B32"/>
    <w:rsid w:val="005874C4"/>
    <w:rsid w:val="005E40E2"/>
    <w:rsid w:val="005E6065"/>
    <w:rsid w:val="005F1C54"/>
    <w:rsid w:val="006022A3"/>
    <w:rsid w:val="0067242D"/>
    <w:rsid w:val="006C15FD"/>
    <w:rsid w:val="007001CD"/>
    <w:rsid w:val="00705A13"/>
    <w:rsid w:val="0071566E"/>
    <w:rsid w:val="00736ADA"/>
    <w:rsid w:val="0073703A"/>
    <w:rsid w:val="00764F9A"/>
    <w:rsid w:val="007A6926"/>
    <w:rsid w:val="007D2A46"/>
    <w:rsid w:val="007E6287"/>
    <w:rsid w:val="008409D9"/>
    <w:rsid w:val="008515E4"/>
    <w:rsid w:val="0085206A"/>
    <w:rsid w:val="008774C0"/>
    <w:rsid w:val="0089436E"/>
    <w:rsid w:val="008B03E9"/>
    <w:rsid w:val="008D26BE"/>
    <w:rsid w:val="008F3F6A"/>
    <w:rsid w:val="008F49BA"/>
    <w:rsid w:val="0092443E"/>
    <w:rsid w:val="00942356"/>
    <w:rsid w:val="009613B2"/>
    <w:rsid w:val="00961410"/>
    <w:rsid w:val="00977339"/>
    <w:rsid w:val="00985F0F"/>
    <w:rsid w:val="009F3C69"/>
    <w:rsid w:val="00A5263F"/>
    <w:rsid w:val="00A8770B"/>
    <w:rsid w:val="00A91943"/>
    <w:rsid w:val="00A93123"/>
    <w:rsid w:val="00AB30BF"/>
    <w:rsid w:val="00AB7BC9"/>
    <w:rsid w:val="00AD4E7D"/>
    <w:rsid w:val="00AF30BB"/>
    <w:rsid w:val="00B349A4"/>
    <w:rsid w:val="00B37F4B"/>
    <w:rsid w:val="00B73508"/>
    <w:rsid w:val="00BA282E"/>
    <w:rsid w:val="00BB18FD"/>
    <w:rsid w:val="00BE29EF"/>
    <w:rsid w:val="00BE323B"/>
    <w:rsid w:val="00BF043E"/>
    <w:rsid w:val="00C00C86"/>
    <w:rsid w:val="00C10856"/>
    <w:rsid w:val="00C34D44"/>
    <w:rsid w:val="00C74A8E"/>
    <w:rsid w:val="00C801FF"/>
    <w:rsid w:val="00CF47A7"/>
    <w:rsid w:val="00D34E06"/>
    <w:rsid w:val="00D42926"/>
    <w:rsid w:val="00D76D05"/>
    <w:rsid w:val="00D96B98"/>
    <w:rsid w:val="00DF2139"/>
    <w:rsid w:val="00E03E4C"/>
    <w:rsid w:val="00E316D5"/>
    <w:rsid w:val="00E32535"/>
    <w:rsid w:val="00E401BC"/>
    <w:rsid w:val="00E423F9"/>
    <w:rsid w:val="00E658D0"/>
    <w:rsid w:val="00E66ABA"/>
    <w:rsid w:val="00E75652"/>
    <w:rsid w:val="00EF69F3"/>
    <w:rsid w:val="00F0423E"/>
    <w:rsid w:val="00F27535"/>
    <w:rsid w:val="00F509EA"/>
    <w:rsid w:val="00F62538"/>
    <w:rsid w:val="00F738B9"/>
    <w:rsid w:val="00F8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7B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77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C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C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C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C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C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7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877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4C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877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4C0"/>
    <w:rPr>
      <w:b/>
      <w:bCs/>
    </w:rPr>
  </w:style>
  <w:style w:type="character" w:styleId="a8">
    <w:name w:val="Emphasis"/>
    <w:basedOn w:val="a0"/>
    <w:uiPriority w:val="20"/>
    <w:qFormat/>
    <w:rsid w:val="00877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4C0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8774C0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774C0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77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4C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774C0"/>
    <w:rPr>
      <w:b/>
      <w:i/>
      <w:sz w:val="24"/>
    </w:rPr>
  </w:style>
  <w:style w:type="character" w:styleId="ad">
    <w:name w:val="Subtle Emphasis"/>
    <w:uiPriority w:val="19"/>
    <w:qFormat/>
    <w:rsid w:val="00877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4C0"/>
    <w:pPr>
      <w:outlineLvl w:val="9"/>
    </w:pPr>
  </w:style>
  <w:style w:type="character" w:styleId="af3">
    <w:name w:val="Hyperlink"/>
    <w:rsid w:val="00F8567B"/>
    <w:rPr>
      <w:color w:val="0000FF"/>
      <w:u w:val="single"/>
    </w:rPr>
  </w:style>
  <w:style w:type="paragraph" w:customStyle="1" w:styleId="af4">
    <w:name w:val="Прижатый влево"/>
    <w:basedOn w:val="a"/>
    <w:next w:val="a"/>
    <w:uiPriority w:val="99"/>
    <w:rsid w:val="00F8567B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unhideWhenUsed/>
    <w:rsid w:val="005F1C5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F1C5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7B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77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C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C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C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C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C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7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877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4C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877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4C0"/>
    <w:rPr>
      <w:b/>
      <w:bCs/>
    </w:rPr>
  </w:style>
  <w:style w:type="character" w:styleId="a8">
    <w:name w:val="Emphasis"/>
    <w:basedOn w:val="a0"/>
    <w:uiPriority w:val="20"/>
    <w:qFormat/>
    <w:rsid w:val="00877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4C0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8774C0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774C0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77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4C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774C0"/>
    <w:rPr>
      <w:b/>
      <w:i/>
      <w:sz w:val="24"/>
    </w:rPr>
  </w:style>
  <w:style w:type="character" w:styleId="ad">
    <w:name w:val="Subtle Emphasis"/>
    <w:uiPriority w:val="19"/>
    <w:qFormat/>
    <w:rsid w:val="00877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4C0"/>
    <w:pPr>
      <w:outlineLvl w:val="9"/>
    </w:pPr>
  </w:style>
  <w:style w:type="character" w:styleId="af3">
    <w:name w:val="Hyperlink"/>
    <w:rsid w:val="00F8567B"/>
    <w:rPr>
      <w:color w:val="0000FF"/>
      <w:u w:val="single"/>
    </w:rPr>
  </w:style>
  <w:style w:type="paragraph" w:customStyle="1" w:styleId="af4">
    <w:name w:val="Прижатый влево"/>
    <w:basedOn w:val="a"/>
    <w:next w:val="a"/>
    <w:uiPriority w:val="99"/>
    <w:rsid w:val="00F8567B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unhideWhenUsed/>
    <w:rsid w:val="005F1C5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F1C5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71;n=40859;fld=134;dst=10000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71;n=41099;fld=134;dst=100005" TargetMode="External"/><Relationship Id="rId12" Type="http://schemas.openxmlformats.org/officeDocument/2006/relationships/hyperlink" Target="garantF1://70019304.1000" TargetMode="Externa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71;n=31263;fld=134;dst=100005" TargetMode="External"/><Relationship Id="rId11" Type="http://schemas.openxmlformats.org/officeDocument/2006/relationships/hyperlink" Target="consultantplus://offline/main?base=RLAW071;n=47897;fld=134;dst=100005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main?base=RLAW071;n=45855;fld=134;dst=10000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71;n=82459;fld=134;dst=1000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4AEB59-C877-483B-A9DF-E973C75829E2}"/>
</file>

<file path=customXml/itemProps2.xml><?xml version="1.0" encoding="utf-8"?>
<ds:datastoreItem xmlns:ds="http://schemas.openxmlformats.org/officeDocument/2006/customXml" ds:itemID="{5DB4ED12-461E-4E25-A8AF-5C30FE6D33DB}"/>
</file>

<file path=customXml/itemProps3.xml><?xml version="1.0" encoding="utf-8"?>
<ds:datastoreItem xmlns:ds="http://schemas.openxmlformats.org/officeDocument/2006/customXml" ds:itemID="{ED025D15-12A2-477E-90CE-B494C7399273}"/>
</file>

<file path=customXml/itemProps4.xml><?xml version="1.0" encoding="utf-8"?>
<ds:datastoreItem xmlns:ds="http://schemas.openxmlformats.org/officeDocument/2006/customXml" ds:itemID="{415E4947-9F4E-4CE7-8AB7-57532910B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 Оксана Николаевна</dc:creator>
  <cp:lastModifiedBy>Зотина</cp:lastModifiedBy>
  <cp:revision>4</cp:revision>
  <cp:lastPrinted>2014-04-24T09:33:00Z</cp:lastPrinted>
  <dcterms:created xsi:type="dcterms:W3CDTF">2014-04-25T09:31:00Z</dcterms:created>
  <dcterms:modified xsi:type="dcterms:W3CDTF">2014-04-25T09:31:00Z</dcterms:modified>
</cp:coreProperties>
</file>