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95" w:rsidRPr="003D6795" w:rsidRDefault="003D6795" w:rsidP="003D6795">
      <w:pPr>
        <w:spacing w:line="480" w:lineRule="auto"/>
        <w:ind w:firstLine="709"/>
        <w:jc w:val="center"/>
        <w:rPr>
          <w:b/>
          <w:sz w:val="28"/>
          <w:lang w:val="ru-RU"/>
        </w:rPr>
      </w:pPr>
      <w:r w:rsidRPr="003D6795">
        <w:rPr>
          <w:b/>
          <w:sz w:val="28"/>
          <w:lang w:val="ru-RU"/>
        </w:rPr>
        <w:t>Порядок смены ценовой категории</w:t>
      </w:r>
      <w:bookmarkStart w:id="0" w:name="_GoBack"/>
      <w:bookmarkEnd w:id="0"/>
    </w:p>
    <w:p w:rsidR="006941F8" w:rsidRPr="00320EB7" w:rsidRDefault="006941F8" w:rsidP="006941F8">
      <w:pPr>
        <w:spacing w:line="360" w:lineRule="auto"/>
        <w:ind w:firstLine="709"/>
        <w:jc w:val="both"/>
        <w:rPr>
          <w:b/>
          <w:lang w:val="ru-RU"/>
        </w:rPr>
      </w:pPr>
      <w:r>
        <w:rPr>
          <w:lang w:val="ru-RU"/>
        </w:rPr>
        <w:t xml:space="preserve">В соответствии с пунктом 97 Основ ценообразования, утвержденных постановлением Правительства РФ от 04.05.2012 г. № 442 </w:t>
      </w:r>
      <w:r w:rsidRPr="006941F8">
        <w:rPr>
          <w:b/>
          <w:lang w:val="ru-RU"/>
        </w:rPr>
        <w:t>изменение ценовой категории</w:t>
      </w:r>
      <w:r w:rsidRPr="00C935CA">
        <w:rPr>
          <w:lang w:val="ru-RU"/>
        </w:rPr>
        <w:t xml:space="preserve"> осуществляется путем направления </w:t>
      </w:r>
      <w:r w:rsidRPr="00737184">
        <w:rPr>
          <w:lang w:val="ru-RU"/>
        </w:rPr>
        <w:t>уведомления г</w:t>
      </w:r>
      <w:r w:rsidRPr="00C935CA">
        <w:rPr>
          <w:lang w:val="ru-RU"/>
        </w:rPr>
        <w:t>арантирующему поставщику за 10 рабочих дней до начала расчетного периода</w:t>
      </w:r>
      <w:r>
        <w:rPr>
          <w:lang w:val="ru-RU"/>
        </w:rPr>
        <w:t xml:space="preserve"> </w:t>
      </w:r>
      <w:r w:rsidRPr="00F65CAB">
        <w:rPr>
          <w:lang w:val="ru-RU"/>
        </w:rPr>
        <w:t>(месяца</w:t>
      </w:r>
      <w:r>
        <w:rPr>
          <w:lang w:val="ru-RU"/>
        </w:rPr>
        <w:t>)</w:t>
      </w:r>
      <w:r w:rsidRPr="00C935CA">
        <w:rPr>
          <w:lang w:val="ru-RU"/>
        </w:rPr>
        <w:t xml:space="preserve">, с которого предполагается изменить ценовую категорию. При этом изменение уже выбранного на текущий </w:t>
      </w:r>
      <w:r>
        <w:rPr>
          <w:lang w:val="ru-RU"/>
        </w:rPr>
        <w:t xml:space="preserve">год </w:t>
      </w:r>
      <w:r w:rsidRPr="00C935CA">
        <w:rPr>
          <w:lang w:val="ru-RU"/>
        </w:rPr>
        <w:t xml:space="preserve">варианта </w:t>
      </w:r>
      <w:r>
        <w:rPr>
          <w:lang w:val="ru-RU"/>
        </w:rPr>
        <w:t>тарифа</w:t>
      </w:r>
      <w:r w:rsidRPr="00C935CA">
        <w:rPr>
          <w:lang w:val="ru-RU"/>
        </w:rPr>
        <w:t xml:space="preserve"> </w:t>
      </w:r>
      <w:r>
        <w:rPr>
          <w:lang w:val="ru-RU"/>
        </w:rPr>
        <w:t>на</w:t>
      </w:r>
      <w:r w:rsidRPr="00C935CA">
        <w:rPr>
          <w:lang w:val="ru-RU"/>
        </w:rPr>
        <w:t xml:space="preserve"> услуги по передаче электрической энергии </w:t>
      </w:r>
      <w:r w:rsidRPr="00320EB7">
        <w:rPr>
          <w:b/>
          <w:lang w:val="ru-RU"/>
        </w:rPr>
        <w:t>не допускается.</w:t>
      </w:r>
    </w:p>
    <w:p w:rsidR="006941F8" w:rsidRPr="00C935CA" w:rsidRDefault="006941F8" w:rsidP="006941F8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Р</w:t>
      </w:r>
      <w:r w:rsidRPr="00C935CA">
        <w:rPr>
          <w:lang w:val="ru-RU"/>
        </w:rPr>
        <w:t xml:space="preserve">асчеты по ценовой категории, указанной в уведомлении об изменении ценовой категории, </w:t>
      </w:r>
      <w:r>
        <w:rPr>
          <w:lang w:val="ru-RU"/>
        </w:rPr>
        <w:t xml:space="preserve">будут произведены </w:t>
      </w:r>
      <w:r w:rsidRPr="00C935CA">
        <w:rPr>
          <w:lang w:val="ru-RU"/>
        </w:rPr>
        <w:t xml:space="preserve">с </w:t>
      </w:r>
      <w:r>
        <w:rPr>
          <w:lang w:val="ru-RU"/>
        </w:rPr>
        <w:t>первого</w:t>
      </w:r>
      <w:r w:rsidRPr="00C935CA">
        <w:rPr>
          <w:lang w:val="ru-RU"/>
        </w:rPr>
        <w:t xml:space="preserve"> числа месяца, следующего за месяцем, в котором потребитель направил соответствующее уведомление, но не ранее:</w:t>
      </w:r>
    </w:p>
    <w:p w:rsidR="006941F8" w:rsidRPr="00C935CA" w:rsidRDefault="006941F8" w:rsidP="006941F8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C935CA">
        <w:rPr>
          <w:lang w:val="ru-RU"/>
        </w:rPr>
        <w:t>даты, когда были допущены в эксплуатацию приборы учета, позволяющие измерять объемы потребления электрической энергии по зонам суток (переход ко второй ценовой категории);</w:t>
      </w:r>
    </w:p>
    <w:p w:rsidR="006941F8" w:rsidRDefault="006941F8" w:rsidP="006941F8">
      <w:pPr>
        <w:numPr>
          <w:ilvl w:val="0"/>
          <w:numId w:val="3"/>
        </w:numPr>
        <w:spacing w:line="360" w:lineRule="auto"/>
        <w:jc w:val="both"/>
        <w:rPr>
          <w:lang w:val="ru-RU"/>
        </w:rPr>
      </w:pPr>
      <w:r w:rsidRPr="00C935CA">
        <w:rPr>
          <w:lang w:val="ru-RU"/>
        </w:rPr>
        <w:t>даты, когда были допущены в эксплуатацию приборы учета, позволяющие измерять почасовые объемы потребления электрической энергии (переход к третьей - шестой ценовым категориям).</w:t>
      </w:r>
    </w:p>
    <w:p w:rsidR="006941F8" w:rsidRPr="00CC463D" w:rsidRDefault="006941F8" w:rsidP="006941F8">
      <w:pPr>
        <w:spacing w:line="360" w:lineRule="auto"/>
        <w:ind w:firstLine="709"/>
        <w:jc w:val="both"/>
        <w:rPr>
          <w:lang w:val="ru-RU"/>
        </w:rPr>
      </w:pPr>
      <w:r w:rsidRPr="00137D66">
        <w:rPr>
          <w:b/>
          <w:lang w:val="ru-RU"/>
        </w:rPr>
        <w:t xml:space="preserve">Потребители, максимальная мощность </w:t>
      </w:r>
      <w:proofErr w:type="spellStart"/>
      <w:r w:rsidRPr="00137D66">
        <w:rPr>
          <w:b/>
          <w:lang w:val="ru-RU"/>
        </w:rPr>
        <w:t>энергопринимающих</w:t>
      </w:r>
      <w:proofErr w:type="spellEnd"/>
      <w:r w:rsidRPr="00137D66">
        <w:rPr>
          <w:b/>
          <w:lang w:val="ru-RU"/>
        </w:rPr>
        <w:t xml:space="preserve"> устройств которых</w:t>
      </w:r>
      <w:r w:rsidRPr="00CC463D">
        <w:rPr>
          <w:lang w:val="ru-RU"/>
        </w:rPr>
        <w:t xml:space="preserve"> </w:t>
      </w:r>
      <w:r w:rsidRPr="004717E4">
        <w:rPr>
          <w:b/>
          <w:lang w:val="ru-RU"/>
        </w:rPr>
        <w:t>менее 670 кВт</w:t>
      </w:r>
      <w:r w:rsidRPr="00CC463D">
        <w:rPr>
          <w:lang w:val="ru-RU"/>
        </w:rPr>
        <w:t xml:space="preserve">, осуществляют выбор ценовой категории самостоятельно посредством уведомления гарантирующего поставщика в течение 1 месяца </w:t>
      </w:r>
      <w:proofErr w:type="gramStart"/>
      <w:r w:rsidRPr="00CC463D">
        <w:rPr>
          <w:lang w:val="ru-RU"/>
        </w:rPr>
        <w:t>с даты принятия</w:t>
      </w:r>
      <w:proofErr w:type="gramEnd"/>
      <w:r w:rsidRPr="00CC463D">
        <w:rPr>
          <w:lang w:val="ru-RU"/>
        </w:rPr>
        <w:t xml:space="preserve"> решения об установлении тарифов на услуги по передаче электрической энергии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 по передаче электрической энергии) и имеют право выбрать:</w:t>
      </w:r>
    </w:p>
    <w:p w:rsidR="006941F8" w:rsidRPr="00CC463D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первую ценовую категорию -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энергии;</w:t>
      </w:r>
    </w:p>
    <w:p w:rsidR="006941F8" w:rsidRPr="00CC463D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вторую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получать данные о потреблении электрической энергии по зонам суток,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энергии;</w:t>
      </w:r>
    </w:p>
    <w:p w:rsidR="006941F8" w:rsidRPr="00CC463D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третью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энергии;</w:t>
      </w:r>
    </w:p>
    <w:p w:rsidR="006941F8" w:rsidRPr="00DF1BB5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lastRenderedPageBreak/>
        <w:t xml:space="preserve">четвертую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</w:t>
      </w:r>
      <w:r w:rsidRPr="00DF1BB5">
        <w:rPr>
          <w:lang w:val="ru-RU"/>
        </w:rPr>
        <w:t xml:space="preserve">при условии выбора </w:t>
      </w:r>
      <w:proofErr w:type="spellStart"/>
      <w:r w:rsidRPr="00DF1BB5">
        <w:rPr>
          <w:lang w:val="ru-RU"/>
        </w:rPr>
        <w:t>двухставочного</w:t>
      </w:r>
      <w:proofErr w:type="spellEnd"/>
      <w:r w:rsidRPr="00DF1BB5">
        <w:rPr>
          <w:lang w:val="ru-RU"/>
        </w:rPr>
        <w:t xml:space="preserve"> варианта тарифа на услуги по передаче электрической энергии;</w:t>
      </w:r>
    </w:p>
    <w:p w:rsidR="006941F8" w:rsidRPr="00CC463D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пятую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 и включения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суток;</w:t>
      </w:r>
    </w:p>
    <w:p w:rsidR="006941F8" w:rsidRDefault="006941F8" w:rsidP="006941F8">
      <w:pPr>
        <w:numPr>
          <w:ilvl w:val="0"/>
          <w:numId w:val="4"/>
        </w:numPr>
        <w:spacing w:line="360" w:lineRule="auto"/>
        <w:jc w:val="both"/>
        <w:rPr>
          <w:lang w:val="ru-RU"/>
        </w:rPr>
      </w:pPr>
      <w:proofErr w:type="gramStart"/>
      <w:r w:rsidRPr="00CC463D">
        <w:rPr>
          <w:lang w:val="ru-RU"/>
        </w:rPr>
        <w:t xml:space="preserve">шестую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двухставочного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энергии, а также при включении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суток.</w:t>
      </w:r>
      <w:proofErr w:type="gramEnd"/>
    </w:p>
    <w:p w:rsidR="006941F8" w:rsidRPr="00CC463D" w:rsidRDefault="006941F8" w:rsidP="006941F8">
      <w:pPr>
        <w:spacing w:line="360" w:lineRule="auto"/>
        <w:ind w:firstLine="360"/>
        <w:jc w:val="both"/>
        <w:rPr>
          <w:lang w:val="ru-RU"/>
        </w:rPr>
      </w:pPr>
      <w:proofErr w:type="gramStart"/>
      <w:r w:rsidRPr="00137D66">
        <w:rPr>
          <w:b/>
          <w:lang w:val="ru-RU"/>
        </w:rPr>
        <w:t xml:space="preserve">Потребители с максимальной мощностью </w:t>
      </w:r>
      <w:proofErr w:type="spellStart"/>
      <w:r w:rsidRPr="00137D66">
        <w:rPr>
          <w:b/>
          <w:lang w:val="ru-RU"/>
        </w:rPr>
        <w:t>энергопринимающих</w:t>
      </w:r>
      <w:proofErr w:type="spellEnd"/>
      <w:r w:rsidRPr="00137D66">
        <w:rPr>
          <w:b/>
          <w:lang w:val="ru-RU"/>
        </w:rPr>
        <w:t xml:space="preserve"> устройств </w:t>
      </w:r>
      <w:r w:rsidRPr="00E51BB9">
        <w:rPr>
          <w:b/>
          <w:lang w:val="ru-RU"/>
        </w:rPr>
        <w:t>не менее 670 кВт</w:t>
      </w:r>
      <w:r w:rsidRPr="00CC463D">
        <w:rPr>
          <w:lang w:val="ru-RU"/>
        </w:rPr>
        <w:t xml:space="preserve"> осуществляют выбор ценовой категории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 по передаче электрической</w:t>
      </w:r>
      <w:proofErr w:type="gramEnd"/>
      <w:r w:rsidRPr="00CC463D">
        <w:rPr>
          <w:lang w:val="ru-RU"/>
        </w:rPr>
        <w:t xml:space="preserve"> энергии) и имеют право выбрать:</w:t>
      </w:r>
    </w:p>
    <w:p w:rsidR="006941F8" w:rsidRPr="00CC463D" w:rsidRDefault="006941F8" w:rsidP="006941F8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третью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 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энергии;</w:t>
      </w:r>
    </w:p>
    <w:p w:rsidR="006941F8" w:rsidRPr="00CC463D" w:rsidRDefault="006941F8" w:rsidP="006941F8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четвертую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двухставочного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электрической;</w:t>
      </w:r>
    </w:p>
    <w:p w:rsidR="006941F8" w:rsidRPr="00CC463D" w:rsidRDefault="006941F8" w:rsidP="006941F8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r w:rsidRPr="00CC463D">
        <w:rPr>
          <w:lang w:val="ru-RU"/>
        </w:rPr>
        <w:t xml:space="preserve">пятую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 оборудованы приборами учета, позволяющими измерять почасовые объемы потребления электрической </w:t>
      </w:r>
      <w:r w:rsidRPr="00CC463D">
        <w:rPr>
          <w:lang w:val="ru-RU"/>
        </w:rPr>
        <w:lastRenderedPageBreak/>
        <w:t xml:space="preserve">энергии, при условии выбора </w:t>
      </w:r>
      <w:proofErr w:type="spellStart"/>
      <w:r w:rsidRPr="00CC463D">
        <w:rPr>
          <w:lang w:val="ru-RU"/>
        </w:rPr>
        <w:t>одноставочного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 и включения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суток;</w:t>
      </w:r>
    </w:p>
    <w:p w:rsidR="006941F8" w:rsidRDefault="006941F8" w:rsidP="006941F8">
      <w:pPr>
        <w:numPr>
          <w:ilvl w:val="0"/>
          <w:numId w:val="5"/>
        </w:numPr>
        <w:spacing w:line="360" w:lineRule="auto"/>
        <w:jc w:val="both"/>
        <w:rPr>
          <w:lang w:val="ru-RU"/>
        </w:rPr>
      </w:pPr>
      <w:proofErr w:type="gramStart"/>
      <w:r w:rsidRPr="00CC463D">
        <w:rPr>
          <w:lang w:val="ru-RU"/>
        </w:rPr>
        <w:t xml:space="preserve">шестую ценовую категорию - в случае, если </w:t>
      </w:r>
      <w:proofErr w:type="spellStart"/>
      <w:r w:rsidRPr="00CC463D">
        <w:rPr>
          <w:lang w:val="ru-RU"/>
        </w:rPr>
        <w:t>энергопринимающие</w:t>
      </w:r>
      <w:proofErr w:type="spellEnd"/>
      <w:r w:rsidRPr="00CC463D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CC463D">
        <w:rPr>
          <w:lang w:val="ru-RU"/>
        </w:rPr>
        <w:t xml:space="preserve">оборудованы приборами учета, позволяющими измерять почасовые объемы потребления электрической энергии, при условии выбора </w:t>
      </w:r>
      <w:proofErr w:type="spellStart"/>
      <w:r w:rsidRPr="00CC463D">
        <w:rPr>
          <w:lang w:val="ru-RU"/>
        </w:rPr>
        <w:t>двухставочного</w:t>
      </w:r>
      <w:proofErr w:type="spellEnd"/>
      <w:r w:rsidRPr="00CC463D">
        <w:rPr>
          <w:lang w:val="ru-RU"/>
        </w:rPr>
        <w:t xml:space="preserve"> варианта тарифа на услуги по передаче электрической энергии, а также при включении в договор энергоснабжения (купли-продажи (поставки) электрической энергии (мощности)) условия о планировании объемов потребления электрической энергии по часам суток.</w:t>
      </w:r>
      <w:proofErr w:type="gramEnd"/>
    </w:p>
    <w:p w:rsidR="006941F8" w:rsidRDefault="006941F8" w:rsidP="006941F8">
      <w:pPr>
        <w:spacing w:line="360" w:lineRule="auto"/>
        <w:ind w:firstLine="360"/>
        <w:jc w:val="both"/>
        <w:rPr>
          <w:lang w:val="ru-RU"/>
        </w:rPr>
      </w:pPr>
      <w:proofErr w:type="gramStart"/>
      <w:r>
        <w:rPr>
          <w:lang w:val="ru-RU"/>
        </w:rPr>
        <w:t xml:space="preserve">В случае отсутствия уведомления о выборе иной, кроме первой и второй ценовых категорий, для расчетов за электрическую энергию (мощность) в отношении потребителей с максимальной мощностью </w:t>
      </w:r>
      <w:proofErr w:type="spellStart"/>
      <w:r>
        <w:rPr>
          <w:lang w:val="ru-RU"/>
        </w:rPr>
        <w:t>энергопринимающих</w:t>
      </w:r>
      <w:proofErr w:type="spellEnd"/>
      <w:r>
        <w:rPr>
          <w:lang w:val="ru-RU"/>
        </w:rPr>
        <w:t xml:space="preserve"> устройств (совокупности </w:t>
      </w:r>
      <w:proofErr w:type="spellStart"/>
      <w:r>
        <w:rPr>
          <w:lang w:val="ru-RU"/>
        </w:rPr>
        <w:t>энергопринимающих</w:t>
      </w:r>
      <w:proofErr w:type="spellEnd"/>
      <w:r>
        <w:rPr>
          <w:lang w:val="ru-RU"/>
        </w:rPr>
        <w:t xml:space="preserve"> устройств) не менее 670 кВт применяется третья ценовая категория (для случая применения </w:t>
      </w:r>
      <w:proofErr w:type="spellStart"/>
      <w:r>
        <w:rPr>
          <w:lang w:val="ru-RU"/>
        </w:rPr>
        <w:t>одноставочного</w:t>
      </w:r>
      <w:proofErr w:type="spellEnd"/>
      <w:r>
        <w:rPr>
          <w:lang w:val="ru-RU"/>
        </w:rPr>
        <w:t xml:space="preserve"> тарифа на услуги по передаче электрической энергии) или четвертая ценовая категория (для случая применения </w:t>
      </w:r>
      <w:proofErr w:type="spellStart"/>
      <w:r>
        <w:rPr>
          <w:lang w:val="ru-RU"/>
        </w:rPr>
        <w:t>двухставочного</w:t>
      </w:r>
      <w:proofErr w:type="spellEnd"/>
      <w:r>
        <w:rPr>
          <w:lang w:val="ru-RU"/>
        </w:rPr>
        <w:t xml:space="preserve"> тарифа на услуги</w:t>
      </w:r>
      <w:proofErr w:type="gramEnd"/>
      <w:r>
        <w:rPr>
          <w:lang w:val="ru-RU"/>
        </w:rPr>
        <w:t xml:space="preserve"> по передаче электрической энергии).</w:t>
      </w:r>
    </w:p>
    <w:sectPr w:rsidR="006941F8" w:rsidSect="006941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172"/>
    <w:multiLevelType w:val="hybridMultilevel"/>
    <w:tmpl w:val="FCE8E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5E1214"/>
    <w:multiLevelType w:val="hybridMultilevel"/>
    <w:tmpl w:val="9A368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7857DF"/>
    <w:multiLevelType w:val="multilevel"/>
    <w:tmpl w:val="5D4224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4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5B6E429B"/>
    <w:multiLevelType w:val="hybridMultilevel"/>
    <w:tmpl w:val="EF32F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E853EB"/>
    <w:multiLevelType w:val="hybridMultilevel"/>
    <w:tmpl w:val="31BC7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9D2"/>
    <w:rsid w:val="000005FF"/>
    <w:rsid w:val="000D1ECB"/>
    <w:rsid w:val="00152264"/>
    <w:rsid w:val="0016561A"/>
    <w:rsid w:val="00234BF7"/>
    <w:rsid w:val="00296288"/>
    <w:rsid w:val="002E1751"/>
    <w:rsid w:val="003034DB"/>
    <w:rsid w:val="00312B36"/>
    <w:rsid w:val="003262EB"/>
    <w:rsid w:val="00371555"/>
    <w:rsid w:val="003776CD"/>
    <w:rsid w:val="003A522E"/>
    <w:rsid w:val="003D6795"/>
    <w:rsid w:val="00431F83"/>
    <w:rsid w:val="0044590C"/>
    <w:rsid w:val="004828D6"/>
    <w:rsid w:val="004844E1"/>
    <w:rsid w:val="004A3FFB"/>
    <w:rsid w:val="004F7492"/>
    <w:rsid w:val="00513898"/>
    <w:rsid w:val="006941F8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F28FD"/>
    <w:rsid w:val="00F5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annotation reference"/>
    <w:basedOn w:val="a0"/>
    <w:uiPriority w:val="99"/>
    <w:semiHidden/>
    <w:unhideWhenUsed/>
    <w:rsid w:val="006941F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941F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941F8"/>
    <w:rPr>
      <w:rFonts w:ascii="Times New Roman" w:eastAsia="Times New Roman" w:hAnsi="Times New Roman"/>
      <w:sz w:val="20"/>
      <w:szCs w:val="20"/>
    </w:rPr>
  </w:style>
  <w:style w:type="character" w:styleId="af6">
    <w:name w:val="Hyperlink"/>
    <w:uiPriority w:val="99"/>
    <w:unhideWhenUsed/>
    <w:rsid w:val="006941F8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941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41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3</cp:revision>
  <dcterms:created xsi:type="dcterms:W3CDTF">2020-03-06T05:10:00Z</dcterms:created>
  <dcterms:modified xsi:type="dcterms:W3CDTF">2020-03-06T05:34:00Z</dcterms:modified>
</cp:coreProperties>
</file>