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DF1E4E" w:rsidRPr="00A27757" w:rsidTr="0040779C">
        <w:trPr>
          <w:trHeight w:val="477"/>
        </w:trPr>
        <w:tc>
          <w:tcPr>
            <w:tcW w:w="9720" w:type="dxa"/>
          </w:tcPr>
          <w:p w:rsidR="00DF1E4E" w:rsidRPr="00CD536E" w:rsidRDefault="00DF1E4E" w:rsidP="0040779C">
            <w:pPr>
              <w:jc w:val="right"/>
              <w:rPr>
                <w:rFonts w:ascii="Garamond" w:eastAsia="Times New Roman" w:hAnsi="Garamond"/>
                <w:bCs/>
                <w:lang w:val="ru-RU" w:eastAsia="ru-RU" w:bidi="ar-SA"/>
              </w:rPr>
            </w:pPr>
            <w:bookmarkStart w:id="0" w:name="_Toc352328816"/>
          </w:p>
        </w:tc>
      </w:tr>
    </w:tbl>
    <w:p w:rsidR="00DF1E4E" w:rsidRDefault="00DF1E4E" w:rsidP="00DF1E4E">
      <w:pPr>
        <w:jc w:val="center"/>
        <w:rPr>
          <w:b/>
          <w:lang w:val="ru-RU"/>
        </w:rPr>
      </w:pPr>
    </w:p>
    <w:tbl>
      <w:tblPr>
        <w:tblW w:w="9720" w:type="dxa"/>
        <w:tblInd w:w="108" w:type="dxa"/>
        <w:tblBorders>
          <w:bottom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DF1E4E" w:rsidRPr="00387901" w:rsidTr="0040779C">
        <w:trPr>
          <w:trHeight w:val="851"/>
        </w:trPr>
        <w:tc>
          <w:tcPr>
            <w:tcW w:w="9720" w:type="dxa"/>
          </w:tcPr>
          <w:p w:rsidR="00DF1E4E" w:rsidRPr="00D700F0" w:rsidRDefault="00A55A72" w:rsidP="0040779C">
            <w:pPr>
              <w:tabs>
                <w:tab w:val="center" w:pos="4677"/>
                <w:tab w:val="right" w:pos="9355"/>
              </w:tabs>
              <w:spacing w:line="60" w:lineRule="atLeast"/>
              <w:jc w:val="center"/>
              <w:rPr>
                <w:rFonts w:ascii="Century Gothic" w:eastAsia="Times New Roman" w:hAnsi="Century Gothic"/>
                <w:b/>
                <w:i/>
                <w:sz w:val="20"/>
                <w:szCs w:val="20"/>
                <w:lang w:val="ru-RU" w:eastAsia="ru-RU" w:bidi="ar-SA"/>
              </w:rPr>
            </w:pPr>
            <w:r>
              <w:rPr>
                <w:rFonts w:ascii="Century Gothic" w:eastAsia="Times New Roman" w:hAnsi="Century Gothic"/>
                <w:b/>
                <w:i/>
                <w:sz w:val="20"/>
                <w:szCs w:val="20"/>
                <w:lang w:val="ru-RU" w:eastAsia="ru-RU" w:bidi="ar-SA"/>
              </w:rPr>
              <w:t xml:space="preserve">    А</w:t>
            </w:r>
            <w:r w:rsidR="00DF1E4E" w:rsidRPr="00D700F0">
              <w:rPr>
                <w:rFonts w:ascii="Century Gothic" w:eastAsia="Times New Roman" w:hAnsi="Century Gothic"/>
                <w:b/>
                <w:i/>
                <w:sz w:val="20"/>
                <w:szCs w:val="20"/>
                <w:lang w:val="ru-RU" w:eastAsia="ru-RU" w:bidi="ar-SA"/>
              </w:rPr>
              <w:t>кционерное общество</w:t>
            </w:r>
          </w:p>
          <w:p w:rsidR="00DF1E4E" w:rsidRDefault="00DF1E4E" w:rsidP="0040779C">
            <w:pPr>
              <w:tabs>
                <w:tab w:val="center" w:pos="0"/>
                <w:tab w:val="right" w:pos="10241"/>
              </w:tabs>
              <w:spacing w:line="60" w:lineRule="atLeast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387901">
              <w:rPr>
                <w:rFonts w:ascii="Tahoma" w:eastAsia="Times New Roman" w:hAnsi="Tahoma"/>
                <w:noProof/>
                <w:szCs w:val="20"/>
                <w:lang w:val="ru-RU" w:eastAsia="ru-RU" w:bidi="ar-SA"/>
              </w:rPr>
              <w:drawing>
                <wp:inline distT="0" distB="0" distL="0" distR="0" wp14:anchorId="0845E95A" wp14:editId="7D15D4CB">
                  <wp:extent cx="2142209" cy="800100"/>
                  <wp:effectExtent l="0" t="0" r="0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49" cy="808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E4E" w:rsidRPr="00387901" w:rsidRDefault="00DF1E4E" w:rsidP="0040779C">
            <w:pPr>
              <w:tabs>
                <w:tab w:val="center" w:pos="0"/>
                <w:tab w:val="right" w:pos="10241"/>
              </w:tabs>
              <w:spacing w:line="60" w:lineRule="atLeast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</w:tr>
    </w:tbl>
    <w:p w:rsidR="007B1586" w:rsidRDefault="007B1586" w:rsidP="00570888">
      <w:pPr>
        <w:pStyle w:val="aa"/>
        <w:spacing w:line="360" w:lineRule="auto"/>
        <w:ind w:left="0"/>
        <w:jc w:val="center"/>
        <w:outlineLvl w:val="0"/>
        <w:rPr>
          <w:rFonts w:ascii="Times New Roman" w:hAnsi="Times New Roman"/>
          <w:b/>
          <w:lang w:val="ru-RU"/>
        </w:rPr>
      </w:pPr>
    </w:p>
    <w:p w:rsidR="00E60F27" w:rsidRDefault="00570888" w:rsidP="00570888">
      <w:pPr>
        <w:pStyle w:val="aa"/>
        <w:spacing w:line="360" w:lineRule="auto"/>
        <w:ind w:left="0"/>
        <w:jc w:val="center"/>
        <w:outlineLvl w:val="0"/>
        <w:rPr>
          <w:rFonts w:ascii="Times New Roman" w:hAnsi="Times New Roman"/>
          <w:b/>
          <w:sz w:val="44"/>
          <w:szCs w:val="44"/>
          <w:lang w:val="ru-RU"/>
        </w:rPr>
      </w:pPr>
      <w:r w:rsidRPr="00E60F27">
        <w:rPr>
          <w:rFonts w:ascii="Times New Roman" w:hAnsi="Times New Roman"/>
          <w:b/>
          <w:sz w:val="44"/>
          <w:szCs w:val="44"/>
          <w:lang w:val="ru-RU"/>
        </w:rPr>
        <w:t>Порядок рассмотрения обращений</w:t>
      </w:r>
    </w:p>
    <w:p w:rsidR="00570888" w:rsidRPr="00E60F27" w:rsidRDefault="00570888" w:rsidP="00570888">
      <w:pPr>
        <w:pStyle w:val="aa"/>
        <w:spacing w:line="360" w:lineRule="auto"/>
        <w:ind w:left="0"/>
        <w:jc w:val="center"/>
        <w:outlineLvl w:val="0"/>
        <w:rPr>
          <w:rFonts w:ascii="Times New Roman" w:hAnsi="Times New Roman"/>
          <w:b/>
          <w:sz w:val="44"/>
          <w:szCs w:val="44"/>
          <w:lang w:val="ru-RU"/>
        </w:rPr>
      </w:pPr>
      <w:r w:rsidRPr="00E60F27">
        <w:rPr>
          <w:rFonts w:ascii="Times New Roman" w:hAnsi="Times New Roman"/>
          <w:b/>
          <w:sz w:val="44"/>
          <w:szCs w:val="44"/>
          <w:lang w:val="ru-RU"/>
        </w:rPr>
        <w:t>(претензий, жалоб и запросов)</w:t>
      </w:r>
      <w:bookmarkEnd w:id="0"/>
    </w:p>
    <w:p w:rsidR="00570888" w:rsidRDefault="00570888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DF1E4E">
      <w:pPr>
        <w:pStyle w:val="aa"/>
        <w:spacing w:line="360" w:lineRule="auto"/>
        <w:ind w:left="0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024DF5" w:rsidRDefault="00024DF5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DF1E4E" w:rsidRDefault="00DF1E4E" w:rsidP="00570888">
      <w:pPr>
        <w:pStyle w:val="aa"/>
        <w:spacing w:line="360" w:lineRule="auto"/>
        <w:ind w:left="0"/>
        <w:jc w:val="center"/>
        <w:outlineLvl w:val="0"/>
        <w:rPr>
          <w:b/>
          <w:lang w:val="ru-RU"/>
        </w:rPr>
      </w:pPr>
    </w:p>
    <w:p w:rsidR="00A55A72" w:rsidRDefault="00A55A72" w:rsidP="00DF1E4E">
      <w:pPr>
        <w:jc w:val="center"/>
        <w:rPr>
          <w:b/>
          <w:lang w:val="ru-RU"/>
        </w:rPr>
      </w:pPr>
    </w:p>
    <w:p w:rsidR="00A55A72" w:rsidRDefault="00A55A72" w:rsidP="00DF1E4E">
      <w:pPr>
        <w:jc w:val="center"/>
        <w:rPr>
          <w:b/>
          <w:lang w:val="ru-RU"/>
        </w:rPr>
      </w:pPr>
    </w:p>
    <w:p w:rsidR="00A55A72" w:rsidRDefault="00A55A72" w:rsidP="00DF1E4E">
      <w:pPr>
        <w:jc w:val="center"/>
        <w:rPr>
          <w:b/>
          <w:lang w:val="ru-RU"/>
        </w:rPr>
      </w:pPr>
    </w:p>
    <w:p w:rsidR="006600BE" w:rsidRDefault="006600BE" w:rsidP="00DF1E4E">
      <w:pPr>
        <w:jc w:val="center"/>
        <w:rPr>
          <w:b/>
          <w:lang w:val="ru-RU"/>
        </w:rPr>
      </w:pPr>
    </w:p>
    <w:p w:rsidR="00DF1E4E" w:rsidRPr="00CD536E" w:rsidRDefault="00DF1E4E" w:rsidP="00DF1E4E">
      <w:pPr>
        <w:jc w:val="center"/>
        <w:rPr>
          <w:b/>
          <w:lang w:val="ru-RU"/>
        </w:rPr>
      </w:pPr>
      <w:r w:rsidRPr="00CD536E">
        <w:rPr>
          <w:b/>
          <w:lang w:val="ru-RU"/>
        </w:rPr>
        <w:t>г. Екатеринбург</w:t>
      </w:r>
    </w:p>
    <w:p w:rsidR="00A55A72" w:rsidRDefault="00A55A72">
      <w:pPr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570888" w:rsidRPr="00BE1F77" w:rsidRDefault="00570888" w:rsidP="00570888">
      <w:pPr>
        <w:pStyle w:val="aa"/>
        <w:numPr>
          <w:ilvl w:val="1"/>
          <w:numId w:val="1"/>
        </w:numPr>
        <w:spacing w:line="360" w:lineRule="auto"/>
        <w:ind w:left="0" w:firstLine="567"/>
        <w:jc w:val="both"/>
        <w:outlineLvl w:val="1"/>
        <w:rPr>
          <w:b/>
          <w:lang w:val="ru-RU"/>
        </w:rPr>
      </w:pPr>
      <w:bookmarkStart w:id="1" w:name="_Toc352328817"/>
      <w:r w:rsidRPr="00BE1F77">
        <w:rPr>
          <w:b/>
          <w:lang w:val="ru-RU"/>
        </w:rPr>
        <w:lastRenderedPageBreak/>
        <w:t>Общие положения</w:t>
      </w:r>
      <w:bookmarkEnd w:id="1"/>
    </w:p>
    <w:p w:rsidR="00570888" w:rsidRPr="00BE1F77" w:rsidRDefault="00570888" w:rsidP="00570888">
      <w:pPr>
        <w:spacing w:line="360" w:lineRule="auto"/>
        <w:ind w:firstLine="567"/>
        <w:jc w:val="both"/>
        <w:rPr>
          <w:b/>
          <w:lang w:val="ru-RU"/>
        </w:rPr>
      </w:pPr>
      <w:r w:rsidRPr="00BE1F77">
        <w:rPr>
          <w:lang w:val="ru-RU"/>
        </w:rPr>
        <w:t>Основной целью рассмотрения обращений (претензий, жалоб и запросов) потребителей является устранение нарушений и их последствий, которые явились основанием для обращения потребителей в АО «Екатеринбурэнергосбыт».</w:t>
      </w:r>
    </w:p>
    <w:p w:rsidR="00570888" w:rsidRPr="00FC0631" w:rsidRDefault="00570888" w:rsidP="00570888">
      <w:pPr>
        <w:spacing w:line="360" w:lineRule="auto"/>
        <w:ind w:firstLine="567"/>
        <w:jc w:val="both"/>
        <w:rPr>
          <w:lang w:val="ru-RU"/>
        </w:rPr>
      </w:pPr>
      <w:r w:rsidRPr="00FC0631">
        <w:rPr>
          <w:lang w:val="ru-RU"/>
        </w:rPr>
        <w:t xml:space="preserve">Устранение таких нарушений и их последствий осуществляется путем принятия соответствующих решений </w:t>
      </w:r>
      <w:r>
        <w:rPr>
          <w:lang w:val="ru-RU"/>
        </w:rPr>
        <w:t xml:space="preserve">руководителями и специалистами </w:t>
      </w:r>
      <w:r w:rsidRPr="00821E96">
        <w:rPr>
          <w:lang w:val="ru-RU"/>
        </w:rPr>
        <w:t>АО «Екатеринбурэнергосбыт»</w:t>
      </w:r>
      <w:r w:rsidRPr="00FC0631">
        <w:rPr>
          <w:lang w:val="ru-RU"/>
        </w:rPr>
        <w:t>, основанных на всестороннем и полном рассмотрении сущест</w:t>
      </w:r>
      <w:r>
        <w:rPr>
          <w:lang w:val="ru-RU"/>
        </w:rPr>
        <w:t>ва обращений (претензий, жалоб,</w:t>
      </w:r>
      <w:r w:rsidRPr="00FC0631">
        <w:rPr>
          <w:lang w:val="ru-RU"/>
        </w:rPr>
        <w:t xml:space="preserve"> запросов), их обоснованности (соответствия фактическим обстоятельствам) и правомерности (относимости существа </w:t>
      </w:r>
      <w:r>
        <w:rPr>
          <w:lang w:val="ru-RU"/>
        </w:rPr>
        <w:t xml:space="preserve">претензии, </w:t>
      </w:r>
      <w:r w:rsidRPr="00FC0631">
        <w:rPr>
          <w:lang w:val="ru-RU"/>
        </w:rPr>
        <w:t>жалобы</w:t>
      </w:r>
      <w:r>
        <w:rPr>
          <w:lang w:val="ru-RU"/>
        </w:rPr>
        <w:t xml:space="preserve">, </w:t>
      </w:r>
      <w:r w:rsidRPr="00FC0631">
        <w:rPr>
          <w:lang w:val="ru-RU"/>
        </w:rPr>
        <w:t>запроса с нормами законодательства РФ, действовавшего в момент совершения действий или наступления событий, послуживших основанием для соответствующей претензии</w:t>
      </w:r>
      <w:r>
        <w:rPr>
          <w:lang w:val="ru-RU"/>
        </w:rPr>
        <w:t xml:space="preserve">, </w:t>
      </w:r>
      <w:r w:rsidRPr="00FC0631">
        <w:rPr>
          <w:lang w:val="ru-RU"/>
        </w:rPr>
        <w:t xml:space="preserve">запроса или жалобы). </w:t>
      </w:r>
    </w:p>
    <w:p w:rsidR="00570888" w:rsidRPr="00BE1F77" w:rsidRDefault="00570888" w:rsidP="00570888">
      <w:pPr>
        <w:pStyle w:val="aa"/>
        <w:numPr>
          <w:ilvl w:val="1"/>
          <w:numId w:val="1"/>
        </w:numPr>
        <w:spacing w:line="360" w:lineRule="auto"/>
        <w:ind w:left="0" w:firstLine="567"/>
        <w:jc w:val="both"/>
        <w:outlineLvl w:val="1"/>
        <w:rPr>
          <w:b/>
          <w:lang w:val="ru-RU"/>
        </w:rPr>
      </w:pPr>
      <w:bookmarkStart w:id="2" w:name="_Toc352328818"/>
      <w:r w:rsidRPr="00BE1F77">
        <w:rPr>
          <w:b/>
          <w:lang w:val="ru-RU"/>
        </w:rPr>
        <w:t>Предъявление обращений (претензий, жалоб, запросов)</w:t>
      </w:r>
      <w:bookmarkEnd w:id="2"/>
    </w:p>
    <w:p w:rsidR="00570888" w:rsidRDefault="00570888" w:rsidP="00570888">
      <w:pPr>
        <w:spacing w:line="360" w:lineRule="auto"/>
        <w:ind w:firstLine="567"/>
        <w:jc w:val="both"/>
        <w:rPr>
          <w:lang w:val="ru-RU"/>
        </w:rPr>
      </w:pPr>
      <w:r w:rsidRPr="00821E96">
        <w:rPr>
          <w:lang w:val="ru-RU"/>
        </w:rPr>
        <w:t xml:space="preserve">Потребители имеют право обратиться с </w:t>
      </w:r>
      <w:r>
        <w:rPr>
          <w:lang w:val="ru-RU"/>
        </w:rPr>
        <w:t>претензией (жалобой, запросом)</w:t>
      </w:r>
      <w:r w:rsidRPr="00821E96">
        <w:rPr>
          <w:lang w:val="ru-RU"/>
        </w:rPr>
        <w:t xml:space="preserve"> лично или направить письменное обращение.</w:t>
      </w:r>
    </w:p>
    <w:p w:rsidR="00570888" w:rsidRDefault="00570888" w:rsidP="00570888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АО «Екатеринбургэнергосбыт»</w:t>
      </w:r>
      <w:r w:rsidRPr="00B370AA">
        <w:rPr>
          <w:lang w:val="ru-RU"/>
        </w:rPr>
        <w:t xml:space="preserve"> принимает </w:t>
      </w:r>
      <w:r>
        <w:rPr>
          <w:lang w:val="ru-RU"/>
        </w:rPr>
        <w:t xml:space="preserve">обращения </w:t>
      </w:r>
      <w:r w:rsidR="006E693D">
        <w:rPr>
          <w:lang w:val="ru-RU"/>
        </w:rPr>
        <w:t>по почте,</w:t>
      </w:r>
      <w:r w:rsidR="006745EB" w:rsidRPr="006745EB">
        <w:rPr>
          <w:lang w:val="ru-RU"/>
        </w:rPr>
        <w:t xml:space="preserve"> </w:t>
      </w:r>
      <w:r w:rsidR="006745EB">
        <w:rPr>
          <w:lang w:val="ru-RU"/>
        </w:rPr>
        <w:t>в</w:t>
      </w:r>
      <w:r w:rsidR="006745EB" w:rsidRPr="00B370AA">
        <w:rPr>
          <w:lang w:val="ru-RU"/>
        </w:rPr>
        <w:t xml:space="preserve"> электронн</w:t>
      </w:r>
      <w:r w:rsidR="006745EB">
        <w:rPr>
          <w:lang w:val="ru-RU"/>
        </w:rPr>
        <w:t>ом виде через официальный интернет сайт АО «Екатеринбургэнергосбыт» (</w:t>
      </w:r>
      <w:hyperlink r:id="rId9" w:history="1">
        <w:r w:rsidR="006745EB" w:rsidRPr="00832A8F">
          <w:rPr>
            <w:rStyle w:val="afa"/>
            <w:lang w:val="ru-RU"/>
          </w:rPr>
          <w:t>http://www.eens.ru/</w:t>
        </w:r>
      </w:hyperlink>
      <w:r w:rsidR="006745EB">
        <w:rPr>
          <w:lang w:val="ru-RU"/>
        </w:rPr>
        <w:t>), а также</w:t>
      </w:r>
      <w:r w:rsidR="006E693D">
        <w:rPr>
          <w:lang w:val="ru-RU"/>
        </w:rPr>
        <w:t xml:space="preserve"> </w:t>
      </w:r>
      <w:r>
        <w:rPr>
          <w:lang w:val="ru-RU"/>
        </w:rPr>
        <w:t>в офисах</w:t>
      </w:r>
      <w:r w:rsidR="006E693D">
        <w:rPr>
          <w:lang w:val="ru-RU"/>
        </w:rPr>
        <w:t>,</w:t>
      </w:r>
      <w:r>
        <w:rPr>
          <w:lang w:val="ru-RU"/>
        </w:rPr>
        <w:t xml:space="preserve"> </w:t>
      </w:r>
      <w:r w:rsidR="006E693D">
        <w:rPr>
          <w:lang w:val="ru-RU"/>
        </w:rPr>
        <w:t xml:space="preserve">расположенных </w:t>
      </w:r>
      <w:r>
        <w:rPr>
          <w:lang w:val="ru-RU"/>
        </w:rPr>
        <w:t>по адресам:</w:t>
      </w:r>
    </w:p>
    <w:p w:rsidR="00A55A72" w:rsidRDefault="00570888" w:rsidP="00A55A72">
      <w:pPr>
        <w:spacing w:line="360" w:lineRule="auto"/>
        <w:ind w:firstLine="567"/>
        <w:jc w:val="both"/>
        <w:outlineLvl w:val="0"/>
        <w:rPr>
          <w:lang w:val="ru-RU"/>
        </w:rPr>
      </w:pPr>
      <w:r w:rsidRPr="00BA05D5">
        <w:rPr>
          <w:lang w:val="ru-RU"/>
        </w:rPr>
        <w:t xml:space="preserve">- </w:t>
      </w:r>
      <w:r w:rsidR="00A55A72">
        <w:rPr>
          <w:lang w:val="ru-RU"/>
        </w:rPr>
        <w:t xml:space="preserve">620026, </w:t>
      </w:r>
      <w:r w:rsidR="00A55A72" w:rsidRPr="00E41808">
        <w:rPr>
          <w:lang w:val="ru-RU"/>
        </w:rPr>
        <w:t>г. Екатеринбург</w:t>
      </w:r>
      <w:r w:rsidR="00A55A72">
        <w:rPr>
          <w:lang w:val="ru-RU"/>
        </w:rPr>
        <w:t>, ул. Луначарского, 210;</w:t>
      </w:r>
    </w:p>
    <w:p w:rsidR="00A55A72" w:rsidRDefault="00A55A72" w:rsidP="00A55A72">
      <w:pPr>
        <w:spacing w:line="360" w:lineRule="auto"/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- 620098, </w:t>
      </w:r>
      <w:r w:rsidRPr="00E41808">
        <w:rPr>
          <w:lang w:val="ru-RU"/>
        </w:rPr>
        <w:t>г. Екатеринбург</w:t>
      </w:r>
      <w:r>
        <w:rPr>
          <w:lang w:val="ru-RU"/>
        </w:rPr>
        <w:t>, ул. Индустрии,104;</w:t>
      </w:r>
    </w:p>
    <w:p w:rsidR="00A55A72" w:rsidRDefault="00A55A72" w:rsidP="00A55A72">
      <w:pPr>
        <w:spacing w:line="360" w:lineRule="auto"/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- 620109, </w:t>
      </w:r>
      <w:r w:rsidRPr="00E41808">
        <w:rPr>
          <w:lang w:val="ru-RU"/>
        </w:rPr>
        <w:t>г. Екатеринбург</w:t>
      </w:r>
      <w:r>
        <w:rPr>
          <w:lang w:val="ru-RU"/>
        </w:rPr>
        <w:t>, ул. Крауля,44;</w:t>
      </w:r>
    </w:p>
    <w:p w:rsidR="00A55A72" w:rsidRDefault="00A55A72" w:rsidP="00A55A72">
      <w:pPr>
        <w:spacing w:line="360" w:lineRule="auto"/>
        <w:ind w:firstLine="567"/>
        <w:jc w:val="both"/>
        <w:outlineLvl w:val="0"/>
        <w:rPr>
          <w:lang w:val="ru-RU"/>
        </w:rPr>
      </w:pPr>
      <w:bookmarkStart w:id="3" w:name="_Toc352076819"/>
      <w:bookmarkStart w:id="4" w:name="_Toc352082882"/>
      <w:bookmarkStart w:id="5" w:name="_Toc352136417"/>
      <w:bookmarkStart w:id="6" w:name="_Toc352229168"/>
      <w:bookmarkStart w:id="7" w:name="_Toc352314923"/>
      <w:bookmarkStart w:id="8" w:name="_Toc352328723"/>
      <w:bookmarkStart w:id="9" w:name="_Toc356214638"/>
      <w:r w:rsidRPr="00E41808">
        <w:rPr>
          <w:lang w:val="ru-RU"/>
        </w:rPr>
        <w:t>- 62014</w:t>
      </w:r>
      <w:r>
        <w:rPr>
          <w:lang w:val="ru-RU"/>
        </w:rPr>
        <w:t>4</w:t>
      </w:r>
      <w:r w:rsidRPr="00E41808">
        <w:rPr>
          <w:lang w:val="ru-RU"/>
        </w:rPr>
        <w:t>, г. Екатеринбург, ул. Сурикова, 48;</w:t>
      </w:r>
      <w:bookmarkEnd w:id="3"/>
      <w:bookmarkEnd w:id="4"/>
      <w:bookmarkEnd w:id="5"/>
      <w:bookmarkEnd w:id="6"/>
      <w:bookmarkEnd w:id="7"/>
      <w:bookmarkEnd w:id="8"/>
      <w:bookmarkEnd w:id="9"/>
    </w:p>
    <w:p w:rsidR="00A55A72" w:rsidRDefault="00A55A72" w:rsidP="00A55A72">
      <w:pPr>
        <w:spacing w:line="360" w:lineRule="auto"/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- 620041, </w:t>
      </w:r>
      <w:r w:rsidRPr="00E41808">
        <w:rPr>
          <w:lang w:val="ru-RU"/>
        </w:rPr>
        <w:t>г. Екатеринбург</w:t>
      </w:r>
      <w:r>
        <w:rPr>
          <w:lang w:val="ru-RU"/>
        </w:rPr>
        <w:t>, Уральская,3.</w:t>
      </w:r>
    </w:p>
    <w:p w:rsidR="00570888" w:rsidRPr="00B370AA" w:rsidRDefault="00570888" w:rsidP="00A55A72">
      <w:pPr>
        <w:spacing w:line="360" w:lineRule="auto"/>
        <w:ind w:firstLine="567"/>
        <w:jc w:val="both"/>
        <w:rPr>
          <w:lang w:val="ru-RU"/>
        </w:rPr>
      </w:pPr>
      <w:r w:rsidRPr="00B370AA">
        <w:rPr>
          <w:lang w:val="ru-RU"/>
        </w:rPr>
        <w:t>При подаче</w:t>
      </w:r>
      <w:r>
        <w:rPr>
          <w:lang w:val="ru-RU"/>
        </w:rPr>
        <w:t xml:space="preserve"> обращения</w:t>
      </w:r>
      <w:r w:rsidRPr="00B370AA">
        <w:rPr>
          <w:lang w:val="ru-RU"/>
        </w:rPr>
        <w:t xml:space="preserve"> лично в офисе </w:t>
      </w:r>
      <w:r>
        <w:rPr>
          <w:lang w:val="ru-RU"/>
        </w:rPr>
        <w:t>организации, на втором экземпляре обращения ставится отметка о приеме.</w:t>
      </w:r>
    </w:p>
    <w:p w:rsidR="00570888" w:rsidRDefault="00570888" w:rsidP="00A55A72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Жалобы и претензии на качество электроснабжения могут передаваться потребителями любым из удобных способов, указанных в соответствующем разделе сайта</w:t>
      </w:r>
      <w:r w:rsidR="00A55A72">
        <w:rPr>
          <w:lang w:val="ru-RU"/>
        </w:rPr>
        <w:t xml:space="preserve"> </w:t>
      </w:r>
      <w:r>
        <w:rPr>
          <w:lang w:val="ru-RU"/>
        </w:rPr>
        <w:t>АО</w:t>
      </w:r>
      <w:r w:rsidR="00A55A72">
        <w:rPr>
          <w:lang w:val="ru-RU"/>
        </w:rPr>
        <w:t xml:space="preserve"> «</w:t>
      </w:r>
      <w:r>
        <w:rPr>
          <w:lang w:val="ru-RU"/>
        </w:rPr>
        <w:t>Екатеринбургэнергосбыт».</w:t>
      </w:r>
    </w:p>
    <w:p w:rsidR="00570888" w:rsidRPr="00570888" w:rsidRDefault="00570888" w:rsidP="00570888">
      <w:pPr>
        <w:pStyle w:val="aa"/>
        <w:numPr>
          <w:ilvl w:val="1"/>
          <w:numId w:val="3"/>
        </w:numPr>
        <w:spacing w:line="360" w:lineRule="auto"/>
        <w:ind w:left="0" w:firstLine="567"/>
        <w:jc w:val="both"/>
        <w:rPr>
          <w:lang w:val="ru-RU"/>
        </w:rPr>
      </w:pPr>
      <w:r w:rsidRPr="00570888">
        <w:rPr>
          <w:lang w:val="ru-RU"/>
        </w:rPr>
        <w:t>Письменные обращения оформляются в произвольной форме и подписываются потребителем или его уполномоченным представителем в двух экземплярах.</w:t>
      </w:r>
    </w:p>
    <w:p w:rsidR="00570888" w:rsidRDefault="00570888" w:rsidP="00570888">
      <w:pPr>
        <w:spacing w:line="360" w:lineRule="auto"/>
        <w:ind w:firstLine="567"/>
        <w:jc w:val="both"/>
        <w:rPr>
          <w:lang w:val="ru-RU"/>
        </w:rPr>
      </w:pPr>
      <w:r w:rsidRPr="00920561">
        <w:rPr>
          <w:lang w:val="ru-RU"/>
        </w:rPr>
        <w:t xml:space="preserve">Обращение </w:t>
      </w:r>
      <w:r>
        <w:rPr>
          <w:lang w:val="ru-RU"/>
        </w:rPr>
        <w:t>потребителя</w:t>
      </w:r>
      <w:r w:rsidRPr="00920561">
        <w:rPr>
          <w:lang w:val="ru-RU"/>
        </w:rPr>
        <w:t xml:space="preserve"> должно с</w:t>
      </w:r>
      <w:r>
        <w:rPr>
          <w:lang w:val="ru-RU"/>
        </w:rPr>
        <w:t>одержать следующую информацию:</w:t>
      </w:r>
    </w:p>
    <w:p w:rsidR="00570888" w:rsidRDefault="00570888" w:rsidP="00570888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Pr="00920561">
        <w:rPr>
          <w:lang w:val="ru-RU"/>
        </w:rPr>
        <w:t xml:space="preserve">фамилия, имя, отчество гражданина (наименование юридического лица), которым подается </w:t>
      </w:r>
      <w:r>
        <w:rPr>
          <w:lang w:val="ru-RU"/>
        </w:rPr>
        <w:t>обращение (претензия</w:t>
      </w:r>
      <w:r w:rsidRPr="00920561">
        <w:rPr>
          <w:lang w:val="ru-RU"/>
        </w:rPr>
        <w:t>,</w:t>
      </w:r>
      <w:r>
        <w:rPr>
          <w:lang w:val="ru-RU"/>
        </w:rPr>
        <w:t xml:space="preserve"> жалоба, запрос)</w:t>
      </w:r>
      <w:r w:rsidRPr="00920561">
        <w:rPr>
          <w:lang w:val="ru-RU"/>
        </w:rPr>
        <w:t xml:space="preserve"> его ме</w:t>
      </w:r>
      <w:r>
        <w:rPr>
          <w:lang w:val="ru-RU"/>
        </w:rPr>
        <w:t xml:space="preserve">сто жительства или регистрации; </w:t>
      </w:r>
    </w:p>
    <w:p w:rsidR="00570888" w:rsidRPr="00920561" w:rsidRDefault="00570888" w:rsidP="00570888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- суть  запроса или</w:t>
      </w:r>
      <w:r w:rsidRPr="00920561">
        <w:rPr>
          <w:lang w:val="ru-RU"/>
        </w:rPr>
        <w:t xml:space="preserve"> обжалуемого решения, действия (бездействия).</w:t>
      </w:r>
    </w:p>
    <w:p w:rsidR="00570888" w:rsidRDefault="00570888" w:rsidP="00570888">
      <w:pPr>
        <w:spacing w:line="360" w:lineRule="auto"/>
        <w:ind w:firstLine="567"/>
        <w:jc w:val="both"/>
        <w:rPr>
          <w:lang w:val="ru-RU"/>
        </w:rPr>
      </w:pPr>
      <w:r w:rsidRPr="00920561">
        <w:rPr>
          <w:lang w:val="ru-RU"/>
        </w:rPr>
        <w:t xml:space="preserve">Дополнительно в </w:t>
      </w:r>
      <w:r>
        <w:rPr>
          <w:lang w:val="ru-RU"/>
        </w:rPr>
        <w:t xml:space="preserve">претензии (жалобе) </w:t>
      </w:r>
      <w:r w:rsidRPr="00920561">
        <w:rPr>
          <w:lang w:val="ru-RU"/>
        </w:rPr>
        <w:t xml:space="preserve">указываются причины несогласия с обжалуемым решением, действием (бездействием), обстоятельства, на основании которых </w:t>
      </w:r>
      <w:r>
        <w:rPr>
          <w:lang w:val="ru-RU"/>
        </w:rPr>
        <w:t xml:space="preserve">потребитель </w:t>
      </w:r>
      <w:r w:rsidRPr="00920561">
        <w:rPr>
          <w:lang w:val="ru-RU"/>
        </w:rPr>
        <w:lastRenderedPageBreak/>
        <w:t>с</w:t>
      </w:r>
      <w:r>
        <w:rPr>
          <w:lang w:val="ru-RU"/>
        </w:rPr>
        <w:t xml:space="preserve">читает, что нарушены его права </w:t>
      </w:r>
      <w:r w:rsidRPr="00920561">
        <w:rPr>
          <w:lang w:val="ru-RU"/>
        </w:rPr>
        <w:t xml:space="preserve">и законные интересы, требования, а также иные сведения, которые </w:t>
      </w:r>
      <w:r>
        <w:rPr>
          <w:lang w:val="ru-RU"/>
        </w:rPr>
        <w:t>потребитель</w:t>
      </w:r>
      <w:r w:rsidRPr="00920561">
        <w:rPr>
          <w:lang w:val="ru-RU"/>
        </w:rPr>
        <w:t xml:space="preserve"> считает необходимым сообщить. </w:t>
      </w:r>
    </w:p>
    <w:p w:rsidR="00570888" w:rsidRPr="00920561" w:rsidRDefault="00570888" w:rsidP="00570888">
      <w:pPr>
        <w:spacing w:line="360" w:lineRule="auto"/>
        <w:ind w:firstLine="567"/>
        <w:jc w:val="both"/>
        <w:rPr>
          <w:lang w:val="ru-RU"/>
        </w:rPr>
      </w:pPr>
      <w:r w:rsidRPr="00920561">
        <w:rPr>
          <w:lang w:val="ru-RU"/>
        </w:rPr>
        <w:t xml:space="preserve">К </w:t>
      </w:r>
      <w:r w:rsidRPr="00860170">
        <w:rPr>
          <w:lang w:val="ru-RU"/>
        </w:rPr>
        <w:t>претензии</w:t>
      </w:r>
      <w:r w:rsidRPr="00920561">
        <w:rPr>
          <w:lang w:val="ru-RU"/>
        </w:rPr>
        <w:t xml:space="preserve"> могут быть приложены копии документов, подтверждающих изложенные в </w:t>
      </w:r>
      <w:r w:rsidRPr="00860170">
        <w:rPr>
          <w:lang w:val="ru-RU"/>
        </w:rPr>
        <w:t>претензии</w:t>
      </w:r>
      <w:r w:rsidRPr="00920561">
        <w:rPr>
          <w:lang w:val="ru-RU"/>
        </w:rPr>
        <w:t xml:space="preserve"> обстоятельства. В таком случае в </w:t>
      </w:r>
      <w:r w:rsidRPr="00860170">
        <w:rPr>
          <w:lang w:val="ru-RU"/>
        </w:rPr>
        <w:t>претензии</w:t>
      </w:r>
      <w:r w:rsidRPr="00920561">
        <w:rPr>
          <w:lang w:val="ru-RU"/>
        </w:rPr>
        <w:t xml:space="preserve"> приводится перечень прилагаемых к ней документов. </w:t>
      </w:r>
    </w:p>
    <w:p w:rsidR="00570888" w:rsidRPr="00920561" w:rsidRDefault="00570888" w:rsidP="00570888">
      <w:pPr>
        <w:spacing w:line="360" w:lineRule="auto"/>
        <w:ind w:firstLine="567"/>
        <w:jc w:val="both"/>
        <w:rPr>
          <w:lang w:val="ru-RU"/>
        </w:rPr>
      </w:pPr>
      <w:r w:rsidRPr="00920561">
        <w:rPr>
          <w:lang w:val="ru-RU"/>
        </w:rPr>
        <w:t xml:space="preserve">Если документы, имеющие существенное значение для рассмотрения </w:t>
      </w:r>
      <w:r w:rsidRPr="00860170">
        <w:rPr>
          <w:lang w:val="ru-RU"/>
        </w:rPr>
        <w:t>претензии</w:t>
      </w:r>
      <w:r>
        <w:rPr>
          <w:lang w:val="ru-RU"/>
        </w:rPr>
        <w:t xml:space="preserve"> (жалобы)</w:t>
      </w:r>
      <w:r w:rsidRPr="00920561">
        <w:rPr>
          <w:lang w:val="ru-RU"/>
        </w:rPr>
        <w:t xml:space="preserve">, отсутствуют или не приложены к обращению, решение принимается без учета доводов, в подтверждение которых документы не представлены. </w:t>
      </w:r>
    </w:p>
    <w:p w:rsidR="00570888" w:rsidRPr="00570888" w:rsidRDefault="00570888" w:rsidP="00570888">
      <w:pPr>
        <w:pStyle w:val="aa"/>
        <w:numPr>
          <w:ilvl w:val="1"/>
          <w:numId w:val="3"/>
        </w:numPr>
        <w:spacing w:line="360" w:lineRule="auto"/>
        <w:ind w:left="0" w:firstLine="567"/>
        <w:jc w:val="both"/>
        <w:rPr>
          <w:lang w:val="ru-RU"/>
        </w:rPr>
      </w:pPr>
      <w:r w:rsidRPr="00570888">
        <w:rPr>
          <w:lang w:val="ru-RU"/>
        </w:rPr>
        <w:t>Действия по заявлению потребителя не производятся, о чем он по возможности информируется, в случаях:</w:t>
      </w:r>
    </w:p>
    <w:p w:rsidR="00570888" w:rsidRPr="00D63E64" w:rsidRDefault="00570888" w:rsidP="00570888">
      <w:pPr>
        <w:spacing w:line="360" w:lineRule="auto"/>
        <w:jc w:val="both"/>
        <w:rPr>
          <w:lang w:val="ru-RU"/>
        </w:rPr>
      </w:pPr>
      <w:r w:rsidRPr="00D63E64">
        <w:rPr>
          <w:lang w:val="ru-RU"/>
        </w:rPr>
        <w:t>- если письменное обращение содержит нецензурные либо оскорбительные выражения, угрозы в адрес сотрудника компании;</w:t>
      </w:r>
    </w:p>
    <w:p w:rsidR="00570888" w:rsidRPr="00D63E64" w:rsidRDefault="00570888" w:rsidP="00570888">
      <w:pPr>
        <w:spacing w:line="360" w:lineRule="auto"/>
        <w:jc w:val="both"/>
        <w:rPr>
          <w:lang w:val="ru-RU"/>
        </w:rPr>
      </w:pPr>
      <w:r w:rsidRPr="00D63E64">
        <w:rPr>
          <w:lang w:val="ru-RU"/>
        </w:rPr>
        <w:t>- если текст письменного обращения не поддается прочтению;</w:t>
      </w:r>
    </w:p>
    <w:p w:rsidR="00570888" w:rsidRPr="00D63E64" w:rsidRDefault="00570888" w:rsidP="00570888">
      <w:pPr>
        <w:spacing w:line="360" w:lineRule="auto"/>
        <w:jc w:val="both"/>
        <w:rPr>
          <w:lang w:val="ru-RU"/>
        </w:rPr>
      </w:pPr>
      <w:r w:rsidRPr="00D63E64">
        <w:rPr>
          <w:lang w:val="ru-RU"/>
        </w:rPr>
        <w:t>- если в письменном обращении потребителя содержится вопрос, на который потребителю уже был предоставлен ответ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570888" w:rsidRPr="00D63E64" w:rsidRDefault="00570888" w:rsidP="00570888">
      <w:pPr>
        <w:spacing w:line="360" w:lineRule="auto"/>
        <w:jc w:val="both"/>
        <w:rPr>
          <w:lang w:val="ru-RU"/>
        </w:rPr>
      </w:pPr>
      <w:r w:rsidRPr="00D63E64">
        <w:rPr>
          <w:lang w:val="ru-RU"/>
        </w:rPr>
        <w:t>- если ответ по существу поставленного в обращении вопроса не может быть дан без разглашения сведений, составляющих коммерческую тайну;</w:t>
      </w:r>
    </w:p>
    <w:p w:rsidR="00570888" w:rsidRDefault="00570888" w:rsidP="00570888">
      <w:pPr>
        <w:spacing w:line="360" w:lineRule="auto"/>
        <w:jc w:val="both"/>
        <w:rPr>
          <w:lang w:val="ru-RU"/>
        </w:rPr>
      </w:pPr>
      <w:r w:rsidRPr="00D63E64">
        <w:rPr>
          <w:lang w:val="ru-RU"/>
        </w:rPr>
        <w:t>- если в письменном обращении не указаны контактные данные.</w:t>
      </w:r>
    </w:p>
    <w:p w:rsidR="00570888" w:rsidRDefault="00570888" w:rsidP="00570888">
      <w:pPr>
        <w:spacing w:line="360" w:lineRule="auto"/>
        <w:ind w:firstLine="567"/>
        <w:jc w:val="both"/>
        <w:rPr>
          <w:lang w:val="ru-RU"/>
        </w:rPr>
      </w:pPr>
      <w:r w:rsidRPr="00920561">
        <w:rPr>
          <w:lang w:val="ru-RU"/>
        </w:rPr>
        <w:t xml:space="preserve">Письменный ответ с указанием причин отказа в рассмотрении </w:t>
      </w:r>
      <w:r>
        <w:rPr>
          <w:lang w:val="ru-RU"/>
        </w:rPr>
        <w:t>претензии (</w:t>
      </w:r>
      <w:r w:rsidRPr="00920561">
        <w:rPr>
          <w:lang w:val="ru-RU"/>
        </w:rPr>
        <w:t>жалобы</w:t>
      </w:r>
      <w:r>
        <w:rPr>
          <w:lang w:val="ru-RU"/>
        </w:rPr>
        <w:t>)</w:t>
      </w:r>
      <w:r w:rsidRPr="00920561">
        <w:rPr>
          <w:lang w:val="ru-RU"/>
        </w:rPr>
        <w:t xml:space="preserve"> нап</w:t>
      </w:r>
      <w:r>
        <w:rPr>
          <w:lang w:val="ru-RU"/>
        </w:rPr>
        <w:t xml:space="preserve">равляется заявителю не позднее 5 рабочих </w:t>
      </w:r>
      <w:r w:rsidRPr="00920561">
        <w:rPr>
          <w:lang w:val="ru-RU"/>
        </w:rPr>
        <w:t xml:space="preserve">дней с момента ее получения. </w:t>
      </w:r>
    </w:p>
    <w:p w:rsidR="00570888" w:rsidRPr="00570888" w:rsidRDefault="00570888" w:rsidP="00570888">
      <w:pPr>
        <w:pStyle w:val="aa"/>
        <w:numPr>
          <w:ilvl w:val="1"/>
          <w:numId w:val="3"/>
        </w:numPr>
        <w:spacing w:line="360" w:lineRule="auto"/>
        <w:ind w:left="0" w:firstLine="567"/>
        <w:jc w:val="both"/>
        <w:rPr>
          <w:lang w:val="ru-RU"/>
        </w:rPr>
      </w:pPr>
      <w:r w:rsidRPr="00570888">
        <w:rPr>
          <w:lang w:val="ru-RU"/>
        </w:rPr>
        <w:t xml:space="preserve">Обращения подлежат обязательной регистрации в соответствии с порядком делопроизводства, принятым в АО «Екатеринбургэнергосбыт». Отказ в приеме обращений не допускается, кроме случаев, указанных в настоящем Порядке. </w:t>
      </w:r>
    </w:p>
    <w:p w:rsidR="00570888" w:rsidRPr="00BE1F77" w:rsidRDefault="00570888" w:rsidP="00570888">
      <w:pPr>
        <w:pStyle w:val="aa"/>
        <w:numPr>
          <w:ilvl w:val="0"/>
          <w:numId w:val="3"/>
        </w:numPr>
        <w:spacing w:line="360" w:lineRule="auto"/>
        <w:ind w:left="0" w:firstLine="567"/>
        <w:jc w:val="both"/>
        <w:outlineLvl w:val="1"/>
        <w:rPr>
          <w:b/>
          <w:lang w:val="ru-RU"/>
        </w:rPr>
      </w:pPr>
      <w:bookmarkStart w:id="10" w:name="_Toc352328819"/>
      <w:bookmarkStart w:id="11" w:name="_Toc352328821"/>
      <w:bookmarkStart w:id="12" w:name="_Toc352328822"/>
      <w:bookmarkEnd w:id="10"/>
      <w:bookmarkEnd w:id="11"/>
      <w:r w:rsidRPr="00BE1F77">
        <w:rPr>
          <w:b/>
          <w:lang w:val="ru-RU"/>
        </w:rPr>
        <w:t>Процедура рассмотрения обращений потребителей</w:t>
      </w:r>
      <w:bookmarkEnd w:id="12"/>
    </w:p>
    <w:p w:rsidR="00570888" w:rsidRDefault="00570888" w:rsidP="00570888">
      <w:pPr>
        <w:pStyle w:val="aa"/>
        <w:numPr>
          <w:ilvl w:val="1"/>
          <w:numId w:val="3"/>
        </w:numPr>
        <w:spacing w:line="360" w:lineRule="auto"/>
        <w:ind w:left="0" w:firstLine="567"/>
        <w:jc w:val="both"/>
        <w:rPr>
          <w:lang w:val="ru-RU"/>
        </w:rPr>
      </w:pPr>
      <w:r w:rsidRPr="009D0B16">
        <w:rPr>
          <w:lang w:val="ru-RU"/>
        </w:rPr>
        <w:t>Под процедурой рассмотрения обращений потребителей понимается порядок действий, в рамках которого специалист АО «Екатеринбургэнергосбыт» осуществляет следующее:</w:t>
      </w:r>
    </w:p>
    <w:p w:rsidR="00570888" w:rsidRPr="00CD6F12" w:rsidRDefault="00570888" w:rsidP="00570888">
      <w:pPr>
        <w:spacing w:line="360" w:lineRule="auto"/>
        <w:jc w:val="both"/>
        <w:rPr>
          <w:lang w:val="ru-RU"/>
        </w:rPr>
      </w:pPr>
      <w:r w:rsidRPr="00CD6F12">
        <w:rPr>
          <w:lang w:val="ru-RU"/>
        </w:rPr>
        <w:t>- анализирует обращение;</w:t>
      </w:r>
    </w:p>
    <w:p w:rsidR="00570888" w:rsidRPr="00CD6F12" w:rsidRDefault="00570888" w:rsidP="00570888">
      <w:pPr>
        <w:spacing w:line="360" w:lineRule="auto"/>
        <w:jc w:val="both"/>
        <w:rPr>
          <w:lang w:val="ru-RU"/>
        </w:rPr>
      </w:pPr>
      <w:r w:rsidRPr="00CD6F12">
        <w:rPr>
          <w:lang w:val="ru-RU"/>
        </w:rPr>
        <w:t>- использует компетентные источники информации и дополнительные сведения для полноценного исполнения запроса или ответа на претензию, жалобу;</w:t>
      </w:r>
    </w:p>
    <w:p w:rsidR="00570888" w:rsidRDefault="00570888" w:rsidP="00570888">
      <w:pPr>
        <w:spacing w:line="360" w:lineRule="auto"/>
        <w:jc w:val="both"/>
        <w:rPr>
          <w:lang w:val="ru-RU"/>
        </w:rPr>
      </w:pPr>
      <w:r w:rsidRPr="00CD6F12">
        <w:rPr>
          <w:lang w:val="ru-RU"/>
        </w:rPr>
        <w:t>- составляет ответ на обращение в письменной форме.</w:t>
      </w:r>
    </w:p>
    <w:p w:rsidR="00570888" w:rsidRPr="00570888" w:rsidRDefault="00570888" w:rsidP="00570888">
      <w:pPr>
        <w:pStyle w:val="aa"/>
        <w:numPr>
          <w:ilvl w:val="1"/>
          <w:numId w:val="3"/>
        </w:numPr>
        <w:spacing w:line="360" w:lineRule="auto"/>
        <w:ind w:left="0" w:firstLine="567"/>
        <w:jc w:val="both"/>
        <w:rPr>
          <w:lang w:val="ru-RU"/>
        </w:rPr>
      </w:pPr>
      <w:r w:rsidRPr="00570888">
        <w:rPr>
          <w:lang w:val="ru-RU"/>
        </w:rPr>
        <w:t>Если к обращению потребителя не приложены документы, необходимые для их всестороннего и полного рассмотрения, такие документы запрашиваются у потребителя любым удобным способом, с указанием срока предоставления.</w:t>
      </w:r>
    </w:p>
    <w:p w:rsidR="00570888" w:rsidRDefault="00570888" w:rsidP="00570888">
      <w:pPr>
        <w:spacing w:line="360" w:lineRule="auto"/>
        <w:ind w:firstLine="567"/>
        <w:jc w:val="both"/>
        <w:rPr>
          <w:lang w:val="ru-RU"/>
        </w:rPr>
      </w:pPr>
      <w:r w:rsidRPr="00FC04B0">
        <w:rPr>
          <w:lang w:val="ru-RU"/>
        </w:rPr>
        <w:lastRenderedPageBreak/>
        <w:t>В случае неполучении затребованных документов в указанный срок обращение</w:t>
      </w:r>
      <w:r>
        <w:rPr>
          <w:lang w:val="ru-RU"/>
        </w:rPr>
        <w:t xml:space="preserve"> рассматривае</w:t>
      </w:r>
      <w:r w:rsidRPr="00FC04B0">
        <w:rPr>
          <w:lang w:val="ru-RU"/>
        </w:rPr>
        <w:t>тся на основании имеющихся документов.</w:t>
      </w:r>
    </w:p>
    <w:p w:rsidR="00570888" w:rsidRPr="00061F74" w:rsidRDefault="00570888" w:rsidP="00570888">
      <w:pPr>
        <w:pStyle w:val="aa"/>
        <w:numPr>
          <w:ilvl w:val="1"/>
          <w:numId w:val="3"/>
        </w:numPr>
        <w:spacing w:line="360" w:lineRule="auto"/>
        <w:ind w:left="0" w:firstLine="567"/>
        <w:jc w:val="both"/>
        <w:rPr>
          <w:lang w:val="ru-RU"/>
        </w:rPr>
      </w:pPr>
      <w:r w:rsidRPr="00061F74">
        <w:rPr>
          <w:lang w:val="ru-RU"/>
        </w:rPr>
        <w:t xml:space="preserve">Специалист АО «Екатеринбургэнергосбыт» обязан рассмотреть обращение потребителя в срок не превышающий 20 (Двадцать) рабочих дней, если иной срок не установлен действующим законодательством и дать письменный мотивированный ответ. При рассмотрении обращений, связанных с качеством электроснабжения потребителю направляется в течение 3 (трёх) рабочих дней предварительный ответ о принятии обращения в работу. После сбора специалистами АО «Екатеринбургэнергосбыт» дополнительной информации от сетевых организаций по вопросам, указанным в обращении, потребителю направляется письменный мотивированный ответ. </w:t>
      </w:r>
    </w:p>
    <w:p w:rsidR="00570888" w:rsidRPr="00570888" w:rsidRDefault="00570888" w:rsidP="00570888">
      <w:pPr>
        <w:pStyle w:val="aa"/>
        <w:numPr>
          <w:ilvl w:val="1"/>
          <w:numId w:val="3"/>
        </w:numPr>
        <w:spacing w:line="360" w:lineRule="auto"/>
        <w:ind w:left="0" w:firstLine="567"/>
        <w:jc w:val="both"/>
        <w:rPr>
          <w:lang w:val="ru-RU"/>
        </w:rPr>
      </w:pPr>
      <w:r w:rsidRPr="00570888">
        <w:rPr>
          <w:lang w:val="ru-RU"/>
        </w:rPr>
        <w:t>Повторное обращение может быть оставлено без рассмотрения, если оно не содержит новых данных, а все изложенные в нем доводы ранее полно и объективно рассматривались, и заявителю был дан отв</w:t>
      </w:r>
      <w:bookmarkStart w:id="13" w:name="_GoBack"/>
      <w:bookmarkEnd w:id="13"/>
      <w:r w:rsidRPr="00570888">
        <w:rPr>
          <w:lang w:val="ru-RU"/>
        </w:rPr>
        <w:t>ет. Одновременно заявителю направляется извещение об оставлении обращения без рассмотрения со ссылкой на данный ранее ответ.</w:t>
      </w:r>
    </w:p>
    <w:p w:rsidR="00570888" w:rsidRPr="00570888" w:rsidRDefault="00570888" w:rsidP="00570888">
      <w:pPr>
        <w:pStyle w:val="aa"/>
        <w:numPr>
          <w:ilvl w:val="1"/>
          <w:numId w:val="3"/>
        </w:numPr>
        <w:spacing w:line="360" w:lineRule="auto"/>
        <w:ind w:left="0" w:firstLine="567"/>
        <w:jc w:val="both"/>
        <w:rPr>
          <w:lang w:val="ru-RU"/>
        </w:rPr>
      </w:pPr>
      <w:r w:rsidRPr="00570888">
        <w:rPr>
          <w:lang w:val="ru-RU"/>
        </w:rPr>
        <w:t>Письменный ответ потребителю о результатах рассмотрения обращения должен содержать мотивированный ответ на каждый изложенный потребителем довод, ФИО и телефон исполнителя, подписан уполномоченным должностным лицом.</w:t>
      </w:r>
    </w:p>
    <w:p w:rsidR="00570888" w:rsidRPr="00570888" w:rsidRDefault="00570888" w:rsidP="00570888">
      <w:pPr>
        <w:pStyle w:val="aa"/>
        <w:numPr>
          <w:ilvl w:val="1"/>
          <w:numId w:val="3"/>
        </w:numPr>
        <w:spacing w:line="360" w:lineRule="auto"/>
        <w:ind w:left="0" w:firstLine="567"/>
        <w:jc w:val="both"/>
        <w:rPr>
          <w:lang w:val="ru-RU"/>
        </w:rPr>
      </w:pPr>
      <w:r w:rsidRPr="00570888">
        <w:rPr>
          <w:lang w:val="ru-RU"/>
        </w:rPr>
        <w:t xml:space="preserve">Каждому письменному ответу присваивается регистрационный номер и ставится дата. </w:t>
      </w:r>
    </w:p>
    <w:p w:rsidR="00570888" w:rsidRDefault="00570888" w:rsidP="00570888">
      <w:pPr>
        <w:spacing w:line="360" w:lineRule="auto"/>
        <w:ind w:firstLine="567"/>
        <w:jc w:val="both"/>
        <w:rPr>
          <w:lang w:val="ru-RU"/>
        </w:rPr>
      </w:pPr>
      <w:r w:rsidRPr="00430450">
        <w:rPr>
          <w:lang w:val="ru-RU"/>
        </w:rPr>
        <w:t>Передача потребителю ответа на поступившее обращение (претензию, жалобу или запрос) производится по почте заказным письмом с уведомлением по адресу, указанному в обращении (претензии, жалобе или запросе) потребителя или путем вручения лично в руки при явке потребителя в АО «Екатеринбургэнергосбыт».</w:t>
      </w:r>
    </w:p>
    <w:sectPr w:rsidR="00570888" w:rsidSect="007E14C0">
      <w:footerReference w:type="default" r:id="rId10"/>
      <w:pgSz w:w="11906" w:h="16838"/>
      <w:pgMar w:top="1134" w:right="851" w:bottom="709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BA" w:rsidRDefault="006550BA">
      <w:r>
        <w:separator/>
      </w:r>
    </w:p>
  </w:endnote>
  <w:endnote w:type="continuationSeparator" w:id="0">
    <w:p w:rsidR="006550BA" w:rsidRDefault="0065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36287"/>
      <w:docPartObj>
        <w:docPartGallery w:val="Page Numbers (Bottom of Page)"/>
        <w:docPartUnique/>
      </w:docPartObj>
    </w:sdtPr>
    <w:sdtEndPr/>
    <w:sdtContent>
      <w:p w:rsidR="007E14C0" w:rsidRDefault="007E14C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F74" w:rsidRPr="00061F74">
          <w:rPr>
            <w:noProof/>
            <w:lang w:val="ru-RU"/>
          </w:rPr>
          <w:t>1</w:t>
        </w:r>
        <w:r>
          <w:fldChar w:fldCharType="end"/>
        </w:r>
      </w:p>
    </w:sdtContent>
  </w:sdt>
  <w:p w:rsidR="007E14C0" w:rsidRDefault="007E14C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BA" w:rsidRDefault="006550BA">
      <w:r>
        <w:separator/>
      </w:r>
    </w:p>
  </w:footnote>
  <w:footnote w:type="continuationSeparator" w:id="0">
    <w:p w:rsidR="006550BA" w:rsidRDefault="0065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573"/>
    <w:multiLevelType w:val="multilevel"/>
    <w:tmpl w:val="3918C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2E3E81"/>
    <w:multiLevelType w:val="multilevel"/>
    <w:tmpl w:val="012C2E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4E7110A5"/>
    <w:multiLevelType w:val="multilevel"/>
    <w:tmpl w:val="6A68A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60"/>
    <w:rsid w:val="000005FF"/>
    <w:rsid w:val="00024DF5"/>
    <w:rsid w:val="00031472"/>
    <w:rsid w:val="00061F74"/>
    <w:rsid w:val="000676EC"/>
    <w:rsid w:val="000F5A9E"/>
    <w:rsid w:val="001317D1"/>
    <w:rsid w:val="00140760"/>
    <w:rsid w:val="00152264"/>
    <w:rsid w:val="0016007B"/>
    <w:rsid w:val="001C4ABA"/>
    <w:rsid w:val="00201A6F"/>
    <w:rsid w:val="00203A53"/>
    <w:rsid w:val="00252D4A"/>
    <w:rsid w:val="00253DCC"/>
    <w:rsid w:val="0026785A"/>
    <w:rsid w:val="002714B7"/>
    <w:rsid w:val="002D0AF9"/>
    <w:rsid w:val="002E075C"/>
    <w:rsid w:val="002E1751"/>
    <w:rsid w:val="003034DB"/>
    <w:rsid w:val="00307A1C"/>
    <w:rsid w:val="00312B36"/>
    <w:rsid w:val="0035164E"/>
    <w:rsid w:val="003776CD"/>
    <w:rsid w:val="003A20EA"/>
    <w:rsid w:val="003A522E"/>
    <w:rsid w:val="003C3516"/>
    <w:rsid w:val="00431F83"/>
    <w:rsid w:val="00451681"/>
    <w:rsid w:val="00451980"/>
    <w:rsid w:val="00474114"/>
    <w:rsid w:val="004828D6"/>
    <w:rsid w:val="004A2C51"/>
    <w:rsid w:val="004A3FFB"/>
    <w:rsid w:val="004E07ED"/>
    <w:rsid w:val="004E63AD"/>
    <w:rsid w:val="004F7492"/>
    <w:rsid w:val="00511035"/>
    <w:rsid w:val="00520F3D"/>
    <w:rsid w:val="00570888"/>
    <w:rsid w:val="00575566"/>
    <w:rsid w:val="0059693A"/>
    <w:rsid w:val="005D3411"/>
    <w:rsid w:val="005E6A00"/>
    <w:rsid w:val="005E7CFA"/>
    <w:rsid w:val="00634BA4"/>
    <w:rsid w:val="006550BA"/>
    <w:rsid w:val="0065580A"/>
    <w:rsid w:val="006600BE"/>
    <w:rsid w:val="00660A1A"/>
    <w:rsid w:val="006745EB"/>
    <w:rsid w:val="006E693D"/>
    <w:rsid w:val="006F2C5F"/>
    <w:rsid w:val="007051F4"/>
    <w:rsid w:val="0071096E"/>
    <w:rsid w:val="007116FF"/>
    <w:rsid w:val="0077105E"/>
    <w:rsid w:val="00784755"/>
    <w:rsid w:val="007B1586"/>
    <w:rsid w:val="007C19F1"/>
    <w:rsid w:val="007C33C7"/>
    <w:rsid w:val="007C3A12"/>
    <w:rsid w:val="007D2A46"/>
    <w:rsid w:val="007E14C0"/>
    <w:rsid w:val="007E4391"/>
    <w:rsid w:val="008133C4"/>
    <w:rsid w:val="008515E4"/>
    <w:rsid w:val="0085206A"/>
    <w:rsid w:val="00854068"/>
    <w:rsid w:val="008774C0"/>
    <w:rsid w:val="008B03E9"/>
    <w:rsid w:val="008B1CB8"/>
    <w:rsid w:val="008C5AB3"/>
    <w:rsid w:val="008E6A61"/>
    <w:rsid w:val="008F3F6A"/>
    <w:rsid w:val="0092443E"/>
    <w:rsid w:val="00924DFA"/>
    <w:rsid w:val="00942356"/>
    <w:rsid w:val="009443D5"/>
    <w:rsid w:val="00961410"/>
    <w:rsid w:val="00963EE4"/>
    <w:rsid w:val="00963F99"/>
    <w:rsid w:val="009657D6"/>
    <w:rsid w:val="00977339"/>
    <w:rsid w:val="00982B18"/>
    <w:rsid w:val="009A681D"/>
    <w:rsid w:val="00A10DC1"/>
    <w:rsid w:val="00A26069"/>
    <w:rsid w:val="00A431BE"/>
    <w:rsid w:val="00A55A72"/>
    <w:rsid w:val="00A8770B"/>
    <w:rsid w:val="00A93123"/>
    <w:rsid w:val="00AA2DFC"/>
    <w:rsid w:val="00AB7BC9"/>
    <w:rsid w:val="00AD0B65"/>
    <w:rsid w:val="00AD7DA8"/>
    <w:rsid w:val="00AF30BB"/>
    <w:rsid w:val="00B23ED2"/>
    <w:rsid w:val="00B27CD6"/>
    <w:rsid w:val="00B453B1"/>
    <w:rsid w:val="00BA5CA6"/>
    <w:rsid w:val="00BC633F"/>
    <w:rsid w:val="00BE29EF"/>
    <w:rsid w:val="00BE2BE3"/>
    <w:rsid w:val="00BF043E"/>
    <w:rsid w:val="00C23F04"/>
    <w:rsid w:val="00C44153"/>
    <w:rsid w:val="00C73541"/>
    <w:rsid w:val="00CF7105"/>
    <w:rsid w:val="00D44128"/>
    <w:rsid w:val="00D66413"/>
    <w:rsid w:val="00DF1E4E"/>
    <w:rsid w:val="00E4148A"/>
    <w:rsid w:val="00E60F27"/>
    <w:rsid w:val="00E62EAB"/>
    <w:rsid w:val="00E66ABA"/>
    <w:rsid w:val="00E95C23"/>
    <w:rsid w:val="00EB617D"/>
    <w:rsid w:val="00EC1624"/>
    <w:rsid w:val="00ED16FD"/>
    <w:rsid w:val="00EE3768"/>
    <w:rsid w:val="00F04808"/>
    <w:rsid w:val="00F303BD"/>
    <w:rsid w:val="00F43FF7"/>
    <w:rsid w:val="00F44BB1"/>
    <w:rsid w:val="00F779C5"/>
    <w:rsid w:val="00F81ECB"/>
    <w:rsid w:val="00FA7DCB"/>
    <w:rsid w:val="00FD0744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8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character" w:styleId="af3">
    <w:name w:val="annotation reference"/>
    <w:basedOn w:val="a0"/>
    <w:uiPriority w:val="99"/>
    <w:semiHidden/>
    <w:unhideWhenUsed/>
    <w:rsid w:val="005708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088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70888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57088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70888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57088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70888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674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8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character" w:styleId="af3">
    <w:name w:val="annotation reference"/>
    <w:basedOn w:val="a0"/>
    <w:uiPriority w:val="99"/>
    <w:semiHidden/>
    <w:unhideWhenUsed/>
    <w:rsid w:val="005708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088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70888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57088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70888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57088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70888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674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e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Брауэр</dc:creator>
  <cp:lastModifiedBy>Майорских Анна Аликовна</cp:lastModifiedBy>
  <cp:revision>2</cp:revision>
  <cp:lastPrinted>2018-11-21T10:31:00Z</cp:lastPrinted>
  <dcterms:created xsi:type="dcterms:W3CDTF">2020-03-12T10:46:00Z</dcterms:created>
  <dcterms:modified xsi:type="dcterms:W3CDTF">2020-03-12T10:46:00Z</dcterms:modified>
</cp:coreProperties>
</file>